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92436" w14:textId="77777777" w:rsidR="009B2F02" w:rsidRDefault="009B2F02" w:rsidP="009B2F02">
      <w:pPr>
        <w:pStyle w:val="OZNPROJEKTUwskazaniedatylubwersjiprojektu"/>
      </w:pPr>
      <w:r>
        <w:t>Projekt</w:t>
      </w:r>
    </w:p>
    <w:p w14:paraId="652B7BD3" w14:textId="77777777" w:rsidR="00D44D58" w:rsidRDefault="00D44D58" w:rsidP="009B2F02">
      <w:pPr>
        <w:pStyle w:val="OZNRODZAKTUtznustawalubrozporzdzenieiorganwydajcy"/>
      </w:pPr>
    </w:p>
    <w:p w14:paraId="3E1F1019" w14:textId="55FCFAB9" w:rsidR="009B2F02" w:rsidRPr="000133C8" w:rsidRDefault="009B2F02" w:rsidP="009B2F02">
      <w:pPr>
        <w:pStyle w:val="OZNRODZAKTUtznustawalubrozporzdzenieiorganwydajcy"/>
      </w:pPr>
      <w:r w:rsidRPr="000133C8">
        <w:t>USTAWA</w:t>
      </w:r>
    </w:p>
    <w:p w14:paraId="48B958D0" w14:textId="7EF22FEE" w:rsidR="009B2F02" w:rsidRPr="000133C8" w:rsidRDefault="009B2F02" w:rsidP="009B2F02">
      <w:pPr>
        <w:pStyle w:val="DATAAKTUdatauchwalenialubwydaniaaktu"/>
      </w:pPr>
      <w:r w:rsidRPr="000133C8">
        <w:t xml:space="preserve">z dnia </w:t>
      </w:r>
      <w:r w:rsidR="00005C79">
        <w:tab/>
      </w:r>
      <w:r w:rsidR="00005C79">
        <w:tab/>
      </w:r>
      <w:r w:rsidR="00005C79">
        <w:tab/>
      </w:r>
      <w:r w:rsidR="00005C79">
        <w:tab/>
      </w:r>
      <w:r w:rsidR="00005C79">
        <w:tab/>
      </w:r>
    </w:p>
    <w:p w14:paraId="2597CE7C" w14:textId="0CDF681F" w:rsidR="001724FE" w:rsidRPr="001724FE" w:rsidRDefault="009B2F02" w:rsidP="001724FE">
      <w:pPr>
        <w:pStyle w:val="TYTUAKTUprzedmiotregulacjiustawylubrozporzdzenia"/>
      </w:pPr>
      <w:r w:rsidRPr="000133C8">
        <w:t>o zmianie us</w:t>
      </w:r>
      <w:r w:rsidR="001724FE">
        <w:t xml:space="preserve">tawy o </w:t>
      </w:r>
      <w:r w:rsidR="00005C79" w:rsidRPr="00005C79">
        <w:t>działalności lobbingowej w procesie stanowienia prawa</w:t>
      </w:r>
    </w:p>
    <w:p w14:paraId="18CF3BAE" w14:textId="6D4BEA55" w:rsidR="009B2F02" w:rsidRPr="000133C8" w:rsidRDefault="009B2F02" w:rsidP="009B2F02">
      <w:pPr>
        <w:pStyle w:val="ARTartustawynprozporzdzenia"/>
      </w:pPr>
      <w:r w:rsidRPr="000133C8">
        <w:rPr>
          <w:rStyle w:val="Ppogrubienie"/>
        </w:rPr>
        <w:t>Art. 1.</w:t>
      </w:r>
      <w:r w:rsidRPr="000133C8">
        <w:t xml:space="preserve"> W ustawie z dnia </w:t>
      </w:r>
      <w:r w:rsidR="00005C79">
        <w:t xml:space="preserve">7 lipca 2005 r. </w:t>
      </w:r>
      <w:r w:rsidR="00005C79" w:rsidRPr="00005C79">
        <w:t>o działalności lobbingowej w procesie stanowienia prawa</w:t>
      </w:r>
      <w:r w:rsidRPr="000133C8">
        <w:t xml:space="preserve"> (Dz. U. z 20</w:t>
      </w:r>
      <w:r w:rsidR="00005C79">
        <w:t>17</w:t>
      </w:r>
      <w:r w:rsidRPr="000133C8">
        <w:t xml:space="preserve"> r. poz. </w:t>
      </w:r>
      <w:r w:rsidR="00005C79">
        <w:t>248</w:t>
      </w:r>
      <w:r w:rsidRPr="000133C8">
        <w:t>) wprowadza się następujące zmiany:</w:t>
      </w:r>
    </w:p>
    <w:p w14:paraId="4224F775" w14:textId="4276AF1E" w:rsidR="00005C79" w:rsidRDefault="0018390F" w:rsidP="00005C79">
      <w:pPr>
        <w:pStyle w:val="PKTpunkt"/>
      </w:pPr>
      <w:r w:rsidRPr="0018390F">
        <w:t xml:space="preserve">1) </w:t>
      </w:r>
      <w:r w:rsidR="0062556C">
        <w:tab/>
      </w:r>
      <w:r w:rsidR="00005C79">
        <w:t xml:space="preserve">po art. 7 dodaje się </w:t>
      </w:r>
      <w:r w:rsidR="00742860">
        <w:t>oznaczenie i tytuł</w:t>
      </w:r>
      <w:r w:rsidR="00005C79">
        <w:t xml:space="preserve"> rozdziału w brzmieniu:</w:t>
      </w:r>
    </w:p>
    <w:p w14:paraId="21B235B4" w14:textId="2047737D" w:rsidR="00005C79" w:rsidRPr="00005C79" w:rsidRDefault="00005C79" w:rsidP="00005C79">
      <w:pPr>
        <w:pStyle w:val="ZROZDZODDZOZNzmoznrozdzoddzartykuempunktem"/>
      </w:pPr>
      <w:r>
        <w:t>„</w:t>
      </w:r>
      <w:r w:rsidRPr="00005C79">
        <w:t>Rozdział 2a</w:t>
      </w:r>
    </w:p>
    <w:p w14:paraId="4CC2FCED" w14:textId="7E86A60F" w:rsidR="00005C79" w:rsidRPr="00005C79" w:rsidRDefault="00005C79" w:rsidP="00005C79">
      <w:pPr>
        <w:pStyle w:val="ZROZDZODDZPRZEDMzmprzedmrozdzoddzartykuempunktem"/>
      </w:pPr>
      <w:r w:rsidRPr="00005C79">
        <w:t>Wysłuchanie publiczne oraz konsultacje społeczne”;</w:t>
      </w:r>
    </w:p>
    <w:p w14:paraId="7C135807" w14:textId="492FD117" w:rsidR="00005C79" w:rsidRDefault="00005C79" w:rsidP="00005C79">
      <w:pPr>
        <w:pStyle w:val="PKTpunkt"/>
      </w:pPr>
      <w:r>
        <w:t>2)</w:t>
      </w:r>
      <w:r>
        <w:tab/>
        <w:t>po art. 9 dodaje się art. 9a</w:t>
      </w:r>
      <w:r w:rsidRPr="0018390F">
        <w:t>–</w:t>
      </w:r>
      <w:r>
        <w:t>9d w brzmieniu:</w:t>
      </w:r>
    </w:p>
    <w:p w14:paraId="74C479D8" w14:textId="7C21D9DB" w:rsidR="00005C79" w:rsidRPr="00005C79" w:rsidRDefault="00005C79" w:rsidP="00005C79">
      <w:pPr>
        <w:pStyle w:val="ZARTzmartartykuempunktem"/>
      </w:pPr>
      <w:r>
        <w:t>„</w:t>
      </w:r>
      <w:r w:rsidRPr="00005C79">
        <w:t>Art. 9a. 1. Po wniesieniu projektu ustawy do Sejmu mogą zostać przeprowadzone, na zasadach określonych w regulaminie Sejmu, konsultacje społeczne tego projektu.</w:t>
      </w:r>
    </w:p>
    <w:p w14:paraId="308359AB" w14:textId="030C5F28" w:rsidR="00005C79" w:rsidRPr="00005C79" w:rsidRDefault="00005C79" w:rsidP="00005C79">
      <w:pPr>
        <w:pStyle w:val="ZUSTzmustartykuempunktem"/>
      </w:pPr>
      <w:r w:rsidRPr="00005C79">
        <w:t>2. Konsultacje społeczne polegają na zgłoszeniu uwag do projektu ustawy.</w:t>
      </w:r>
    </w:p>
    <w:p w14:paraId="3A13B4E3" w14:textId="756EB71F" w:rsidR="00005C79" w:rsidRPr="00005C79" w:rsidRDefault="00005C79" w:rsidP="00005C79">
      <w:pPr>
        <w:pStyle w:val="ZUSTzmustartykuempunktem"/>
      </w:pPr>
      <w:r w:rsidRPr="00005C79">
        <w:t>3. Uwagi mogą być zgłoszone przez osobę fizyczną we własnym imieniu albo na rzecz osoby prawnej lub podmiotu innego niż osoba prawna.</w:t>
      </w:r>
    </w:p>
    <w:p w14:paraId="210F320C" w14:textId="2833F9F3" w:rsidR="00005C79" w:rsidRPr="00005C79" w:rsidRDefault="00005C79" w:rsidP="00005C79">
      <w:pPr>
        <w:pStyle w:val="ZARTzmartartykuempunktem"/>
      </w:pPr>
      <w:r w:rsidRPr="00005C79">
        <w:t>Art. 9b. Zgłoszenia uwag</w:t>
      </w:r>
      <w:r w:rsidR="009F7D12">
        <w:t xml:space="preserve"> </w:t>
      </w:r>
      <w:r w:rsidRPr="00005C79">
        <w:t>dokonuje się z wykorzystaniem usługi elektronicznej udostępnionej przez ministra właściwego do spraw informatyzacji na podstawie porozumienia, o którym mowa w art. 19c ust. 1 pkt 1 ustawy z dnia 17 lutego 2005 r. o informatyzacji działalności podmiotów realizujących zadania publiczne</w:t>
      </w:r>
      <w:r w:rsidR="00EE1BBA">
        <w:t xml:space="preserve"> (Dz. U. z 2024 r. poz. 307</w:t>
      </w:r>
      <w:r w:rsidR="003806D9">
        <w:t xml:space="preserve"> i 1222</w:t>
      </w:r>
      <w:r w:rsidR="00EE1BBA">
        <w:t>)</w:t>
      </w:r>
      <w:r w:rsidRPr="00005C79">
        <w:t>, po uwierzytelnieniu osoby zgłaszającej uwagi w sposób określony w art. 20a ust. 1 tej ustawy.</w:t>
      </w:r>
    </w:p>
    <w:p w14:paraId="5EFFB812" w14:textId="5BA43311" w:rsidR="00005C79" w:rsidRPr="00005C79" w:rsidRDefault="00005C79" w:rsidP="00005C79">
      <w:pPr>
        <w:pStyle w:val="ZARTzmartartykuempunktem"/>
      </w:pPr>
      <w:r w:rsidRPr="00005C79">
        <w:t xml:space="preserve">Art. 9c. 1. W celu zapewnienia jawności procesu stanowienia prawa, w tym konsultacji społecznych, </w:t>
      </w:r>
      <w:r w:rsidR="009F7D12">
        <w:t xml:space="preserve">zgłoszone </w:t>
      </w:r>
      <w:r w:rsidRPr="00005C79">
        <w:t>uwagi udostępnia się w trybie określonym w regulaminie Sejmu, z tym że dane obejmujące:</w:t>
      </w:r>
    </w:p>
    <w:p w14:paraId="13456FD8" w14:textId="77777777" w:rsidR="00005C79" w:rsidRPr="00005C79" w:rsidRDefault="00005C79" w:rsidP="00005C79">
      <w:pPr>
        <w:pStyle w:val="ZPKTzmpktartykuempunktem"/>
      </w:pPr>
      <w:r w:rsidRPr="00005C79">
        <w:t>1)</w:t>
      </w:r>
      <w:r w:rsidRPr="00005C79">
        <w:tab/>
        <w:t>imię (imiona) oraz nazwisko osoby zgłaszającej uwagi,</w:t>
      </w:r>
    </w:p>
    <w:p w14:paraId="69E07B1F" w14:textId="48E6CBCC" w:rsidR="00005C79" w:rsidRPr="00005C79" w:rsidRDefault="00005C79" w:rsidP="00005C79">
      <w:pPr>
        <w:pStyle w:val="ZPKTzmpktartykuempunktem"/>
      </w:pPr>
      <w:r w:rsidRPr="00005C79">
        <w:t>2)</w:t>
      </w:r>
      <w:r w:rsidRPr="00005C79">
        <w:tab/>
        <w:t>imię (imiona) oraz nazwisko albo nazwę i siedzibę</w:t>
      </w:r>
      <w:r w:rsidR="009F7D12">
        <w:t xml:space="preserve"> </w:t>
      </w:r>
      <w:r w:rsidR="009F7D12">
        <w:sym w:font="Symbol" w:char="F02D"/>
      </w:r>
      <w:r w:rsidR="009F7D12">
        <w:t xml:space="preserve"> </w:t>
      </w:r>
      <w:r w:rsidRPr="00005C79">
        <w:t>w przypadku zgłoszenia uwag na rzecz innego podmiotu</w:t>
      </w:r>
    </w:p>
    <w:p w14:paraId="63E0434E" w14:textId="39AF972D" w:rsidR="00005C79" w:rsidRPr="00C969BD" w:rsidRDefault="00005C79" w:rsidP="00EE1BBA">
      <w:pPr>
        <w:pStyle w:val="ZCZWSPPKTzmczciwsppktartykuempunktem"/>
        <w:rPr>
          <w:rFonts w:eastAsia="Times New Roman"/>
        </w:rPr>
      </w:pPr>
      <w:r w:rsidRPr="00C969BD">
        <w:rPr>
          <w:rFonts w:eastAsia="Times New Roman"/>
        </w:rPr>
        <w:t xml:space="preserve">– </w:t>
      </w:r>
      <w:r w:rsidR="00D44D58">
        <w:rPr>
          <w:rFonts w:eastAsia="Times New Roman"/>
        </w:rPr>
        <w:tab/>
      </w:r>
      <w:r w:rsidRPr="00C969BD">
        <w:rPr>
          <w:rFonts w:eastAsia="Times New Roman"/>
        </w:rPr>
        <w:t>udostępnia się do zakończenia kadencji Sejmu, w której odbywają się prace nad projektem ustawy.</w:t>
      </w:r>
    </w:p>
    <w:p w14:paraId="2D82E885" w14:textId="77777777" w:rsidR="00005C79" w:rsidRPr="00595279" w:rsidRDefault="00005C79" w:rsidP="00005C79">
      <w:pPr>
        <w:pStyle w:val="ZUSTzmustartykuempunktem"/>
        <w:rPr>
          <w:rFonts w:eastAsia="Times New Roman"/>
        </w:rPr>
      </w:pPr>
      <w:r w:rsidRPr="00595279">
        <w:rPr>
          <w:rFonts w:eastAsia="Times New Roman"/>
        </w:rPr>
        <w:lastRenderedPageBreak/>
        <w:t xml:space="preserve">2. </w:t>
      </w:r>
      <w:r>
        <w:rPr>
          <w:rFonts w:eastAsia="Times New Roman"/>
        </w:rPr>
        <w:t>Nie udostępnia się uwag</w:t>
      </w:r>
      <w:r w:rsidRPr="00595279">
        <w:rPr>
          <w:rFonts w:eastAsia="Times New Roman"/>
        </w:rPr>
        <w:t>, które zawierają treści niezgodne z prawem.</w:t>
      </w:r>
    </w:p>
    <w:p w14:paraId="0CAE002E" w14:textId="03C898F7" w:rsidR="009641DE" w:rsidRPr="00005C79" w:rsidRDefault="00005C79" w:rsidP="00C125C9">
      <w:pPr>
        <w:pStyle w:val="ZARTzmartartykuempunktem"/>
      </w:pPr>
      <w:r w:rsidRPr="00005C79">
        <w:t>Art. 9d. Kancelaria Sejmu, w celu przeprowadzenia konsultacji społecznych oraz do celów statystycznych, przetwarza dane</w:t>
      </w:r>
      <w:r w:rsidR="009641DE">
        <w:t xml:space="preserve"> obejmujące</w:t>
      </w:r>
      <w:r w:rsidRPr="00005C79">
        <w:t>:</w:t>
      </w:r>
    </w:p>
    <w:p w14:paraId="0A499F62" w14:textId="7E831777" w:rsidR="009641DE" w:rsidRPr="00005C79" w:rsidRDefault="009641DE" w:rsidP="009641DE">
      <w:pPr>
        <w:pStyle w:val="ZPKTzmpktartykuempunktem"/>
      </w:pPr>
      <w:r w:rsidRPr="00005C79">
        <w:t>1)</w:t>
      </w:r>
      <w:r w:rsidRPr="00005C79">
        <w:tab/>
        <w:t>imię (imiona)</w:t>
      </w:r>
      <w:r w:rsidR="00C125C9">
        <w:t xml:space="preserve">, </w:t>
      </w:r>
      <w:r w:rsidRPr="00005C79">
        <w:t xml:space="preserve">nazwisko </w:t>
      </w:r>
      <w:r w:rsidR="00C125C9">
        <w:t xml:space="preserve">oraz numer PESEL </w:t>
      </w:r>
      <w:r w:rsidRPr="00005C79">
        <w:t>osoby zgłaszającej uwagi,</w:t>
      </w:r>
    </w:p>
    <w:p w14:paraId="723F367C" w14:textId="3010E5B5" w:rsidR="00005C79" w:rsidRDefault="009641DE" w:rsidP="009641DE">
      <w:pPr>
        <w:pStyle w:val="ZPKTzmpktartykuempunktem"/>
      </w:pPr>
      <w:r w:rsidRPr="00005C79">
        <w:t>2)</w:t>
      </w:r>
      <w:r w:rsidRPr="00005C79">
        <w:tab/>
        <w:t>imię (imiona)</w:t>
      </w:r>
      <w:r w:rsidR="00C125C9">
        <w:t xml:space="preserve"> i nazwisko </w:t>
      </w:r>
      <w:r w:rsidR="00742860">
        <w:t>albo</w:t>
      </w:r>
      <w:r w:rsidR="00C125C9">
        <w:t xml:space="preserve"> </w:t>
      </w:r>
      <w:r w:rsidRPr="00005C79">
        <w:t>nazwę i siedzibę</w:t>
      </w:r>
      <w:r>
        <w:t xml:space="preserve"> </w:t>
      </w:r>
      <w:r w:rsidR="00C125C9">
        <w:t>podmiotu, na rzecz którego są zgłaszane uwagi.</w:t>
      </w:r>
      <w:r w:rsidR="00005C79">
        <w:rPr>
          <w:rFonts w:eastAsia="Times New Roman"/>
        </w:rPr>
        <w:t>”.</w:t>
      </w:r>
    </w:p>
    <w:p w14:paraId="7688747C" w14:textId="74133D68" w:rsidR="009B2F02" w:rsidRDefault="009B2F02" w:rsidP="009B2F02">
      <w:pPr>
        <w:pStyle w:val="ARTartustawynprozporzdzenia"/>
      </w:pPr>
      <w:r w:rsidRPr="000133C8">
        <w:rPr>
          <w:rStyle w:val="Ppogrubienie"/>
        </w:rPr>
        <w:t>Art. </w:t>
      </w:r>
      <w:r w:rsidR="00005C79">
        <w:rPr>
          <w:rStyle w:val="Ppogrubienie"/>
        </w:rPr>
        <w:t>2</w:t>
      </w:r>
      <w:r w:rsidRPr="000133C8">
        <w:rPr>
          <w:rStyle w:val="Ppogrubienie"/>
        </w:rPr>
        <w:t>.</w:t>
      </w:r>
      <w:r>
        <w:t> </w:t>
      </w:r>
      <w:r w:rsidRPr="000133C8">
        <w:t>Ustawa</w:t>
      </w:r>
      <w:r>
        <w:t xml:space="preserve"> wchodzi w życie po upływie 14 dni od dnia</w:t>
      </w:r>
      <w:r w:rsidRPr="000133C8">
        <w:t xml:space="preserve"> ogłoszenia.</w:t>
      </w:r>
    </w:p>
    <w:p w14:paraId="0EC23D35" w14:textId="77777777" w:rsidR="003806D9" w:rsidRDefault="003806D9" w:rsidP="009B2F02">
      <w:pPr>
        <w:pStyle w:val="ARTartustawynprozporzdzenia"/>
        <w:sectPr w:rsidR="003806D9" w:rsidSect="00165A26">
          <w:headerReference w:type="default" r:id="rId9"/>
          <w:footnotePr>
            <w:numRestart w:val="eachSect"/>
          </w:footnotePr>
          <w:pgSz w:w="11906" w:h="16838"/>
          <w:pgMar w:top="1559" w:right="2268" w:bottom="1559" w:left="1418" w:header="709" w:footer="709" w:gutter="0"/>
          <w:cols w:space="708"/>
          <w:titlePg/>
          <w:docGrid w:linePitch="326"/>
        </w:sectPr>
      </w:pPr>
    </w:p>
    <w:p w14:paraId="58BEB826" w14:textId="4CB2D0BA" w:rsidR="003806D9" w:rsidRPr="00B1381C" w:rsidRDefault="003806D9" w:rsidP="003806D9">
      <w:pPr>
        <w:spacing w:after="120" w:line="360" w:lineRule="auto"/>
        <w:jc w:val="center"/>
        <w:rPr>
          <w:rFonts w:ascii="Times New Roman" w:eastAsia="Calibri" w:hAnsi="Times New Roman" w:cs="Times New Roman"/>
          <w:sz w:val="24"/>
          <w:szCs w:val="24"/>
        </w:rPr>
      </w:pPr>
      <w:r w:rsidRPr="00B1381C">
        <w:rPr>
          <w:rFonts w:ascii="Times New Roman" w:eastAsia="Calibri" w:hAnsi="Times New Roman" w:cs="Times New Roman"/>
          <w:sz w:val="24"/>
          <w:szCs w:val="24"/>
        </w:rPr>
        <w:lastRenderedPageBreak/>
        <w:t>UZASADNIENIE</w:t>
      </w:r>
    </w:p>
    <w:p w14:paraId="27AB70D5" w14:textId="77777777" w:rsidR="003806D9" w:rsidRPr="00B1381C" w:rsidRDefault="003806D9" w:rsidP="003806D9">
      <w:pPr>
        <w:spacing w:after="120" w:line="360" w:lineRule="auto"/>
        <w:jc w:val="center"/>
        <w:rPr>
          <w:rFonts w:ascii="Times New Roman" w:eastAsia="Calibri" w:hAnsi="Times New Roman" w:cs="Times New Roman"/>
          <w:sz w:val="24"/>
          <w:szCs w:val="24"/>
        </w:rPr>
      </w:pPr>
    </w:p>
    <w:p w14:paraId="77146BD9" w14:textId="77777777" w:rsidR="003806D9" w:rsidRPr="00B1381C" w:rsidRDefault="003806D9" w:rsidP="003806D9">
      <w:pPr>
        <w:spacing w:after="120" w:line="360" w:lineRule="auto"/>
        <w:rPr>
          <w:rFonts w:ascii="Times New Roman" w:eastAsia="Calibri" w:hAnsi="Times New Roman" w:cs="Times New Roman"/>
          <w:b/>
          <w:sz w:val="24"/>
          <w:szCs w:val="24"/>
        </w:rPr>
      </w:pPr>
      <w:r w:rsidRPr="00B1381C">
        <w:rPr>
          <w:rFonts w:ascii="Times New Roman" w:eastAsia="Calibri" w:hAnsi="Times New Roman" w:cs="Times New Roman"/>
          <w:b/>
          <w:sz w:val="24"/>
          <w:szCs w:val="24"/>
        </w:rPr>
        <w:t>1.</w:t>
      </w:r>
      <w:r w:rsidRPr="00B1381C">
        <w:rPr>
          <w:rFonts w:ascii="Times New Roman" w:eastAsia="Calibri" w:hAnsi="Times New Roman" w:cs="Times New Roman"/>
          <w:b/>
          <w:sz w:val="24"/>
          <w:szCs w:val="24"/>
        </w:rPr>
        <w:tab/>
        <w:t>Potrzeba i cel uchwalenia ustawy</w:t>
      </w:r>
    </w:p>
    <w:p w14:paraId="657A672E" w14:textId="77777777" w:rsidR="003806D9" w:rsidRPr="00B1381C" w:rsidRDefault="003806D9" w:rsidP="003806D9">
      <w:pPr>
        <w:spacing w:after="120" w:line="360" w:lineRule="auto"/>
        <w:ind w:firstLine="708"/>
        <w:rPr>
          <w:rFonts w:ascii="Times New Roman" w:eastAsia="Calibri" w:hAnsi="Times New Roman" w:cs="Times New Roman"/>
          <w:sz w:val="24"/>
          <w:szCs w:val="24"/>
        </w:rPr>
      </w:pPr>
      <w:r w:rsidRPr="00B1381C">
        <w:rPr>
          <w:rFonts w:ascii="Times New Roman" w:eastAsia="Calibri" w:hAnsi="Times New Roman" w:cs="Times New Roman"/>
          <w:sz w:val="24"/>
          <w:szCs w:val="24"/>
        </w:rPr>
        <w:t xml:space="preserve">Projektowana ustawa </w:t>
      </w:r>
      <w:r>
        <w:rPr>
          <w:rFonts w:ascii="Times New Roman" w:eastAsia="Calibri" w:hAnsi="Times New Roman" w:cs="Times New Roman"/>
          <w:sz w:val="24"/>
          <w:szCs w:val="24"/>
        </w:rPr>
        <w:t>uzupełnia</w:t>
      </w:r>
      <w:r w:rsidRPr="00B1381C">
        <w:rPr>
          <w:rFonts w:ascii="Times New Roman" w:eastAsia="Calibri" w:hAnsi="Times New Roman" w:cs="Times New Roman"/>
          <w:sz w:val="24"/>
          <w:szCs w:val="24"/>
        </w:rPr>
        <w:t xml:space="preserve"> </w:t>
      </w:r>
      <w:r>
        <w:rPr>
          <w:rFonts w:ascii="Times New Roman" w:eastAsia="Calibri" w:hAnsi="Times New Roman" w:cs="Times New Roman"/>
          <w:sz w:val="24"/>
          <w:szCs w:val="24"/>
        </w:rPr>
        <w:t>regulacje</w:t>
      </w:r>
      <w:r w:rsidRPr="00B1381C">
        <w:rPr>
          <w:rFonts w:ascii="Times New Roman" w:eastAsia="Calibri" w:hAnsi="Times New Roman" w:cs="Times New Roman"/>
          <w:sz w:val="24"/>
          <w:szCs w:val="24"/>
        </w:rPr>
        <w:t xml:space="preserve"> prawne nowej instytucji </w:t>
      </w:r>
      <w:r>
        <w:rPr>
          <w:rFonts w:ascii="Times New Roman" w:eastAsia="Calibri" w:hAnsi="Times New Roman" w:cs="Times New Roman"/>
          <w:sz w:val="24"/>
          <w:szCs w:val="24"/>
        </w:rPr>
        <w:t>prawnej dotyczącej</w:t>
      </w:r>
      <w:r w:rsidRPr="00B1381C">
        <w:rPr>
          <w:rFonts w:ascii="Times New Roman" w:eastAsia="Calibri" w:hAnsi="Times New Roman" w:cs="Times New Roman"/>
          <w:sz w:val="24"/>
          <w:szCs w:val="24"/>
        </w:rPr>
        <w:t xml:space="preserve"> postępowani</w:t>
      </w:r>
      <w:r>
        <w:rPr>
          <w:rFonts w:ascii="Times New Roman" w:eastAsia="Calibri" w:hAnsi="Times New Roman" w:cs="Times New Roman"/>
          <w:sz w:val="24"/>
          <w:szCs w:val="24"/>
        </w:rPr>
        <w:t>a</w:t>
      </w:r>
      <w:r w:rsidRPr="00B1381C">
        <w:rPr>
          <w:rFonts w:ascii="Times New Roman" w:eastAsia="Calibri" w:hAnsi="Times New Roman" w:cs="Times New Roman"/>
          <w:sz w:val="24"/>
          <w:szCs w:val="24"/>
        </w:rPr>
        <w:t xml:space="preserve"> ustawodawcz</w:t>
      </w:r>
      <w:r>
        <w:rPr>
          <w:rFonts w:ascii="Times New Roman" w:eastAsia="Calibri" w:hAnsi="Times New Roman" w:cs="Times New Roman"/>
          <w:sz w:val="24"/>
          <w:szCs w:val="24"/>
        </w:rPr>
        <w:t>ego</w:t>
      </w:r>
      <w:r w:rsidRPr="00B1381C">
        <w:rPr>
          <w:rFonts w:ascii="Times New Roman" w:eastAsia="Calibri" w:hAnsi="Times New Roman" w:cs="Times New Roman"/>
          <w:sz w:val="24"/>
          <w:szCs w:val="24"/>
        </w:rPr>
        <w:t xml:space="preserve">, tj. konsultacji społecznych projektów ustaw. Wprowadzenie </w:t>
      </w:r>
      <w:r>
        <w:rPr>
          <w:rFonts w:ascii="Times New Roman" w:eastAsia="Calibri" w:hAnsi="Times New Roman" w:cs="Times New Roman"/>
          <w:sz w:val="24"/>
          <w:szCs w:val="24"/>
        </w:rPr>
        <w:t>tej instytucji</w:t>
      </w:r>
      <w:r w:rsidRPr="00B1381C">
        <w:rPr>
          <w:rFonts w:ascii="Times New Roman" w:eastAsia="Calibri" w:hAnsi="Times New Roman" w:cs="Times New Roman"/>
          <w:sz w:val="24"/>
          <w:szCs w:val="24"/>
        </w:rPr>
        <w:t xml:space="preserve"> oznacza implementację jednego z tzw. kamieni milowych, czyli warunków, od których spełnienia uzależnione jest uruchomienie środków finansowych z Krajowego Planu Odbudowy i Zwiększania Odporności (KPO). Należy przypomnieć, że KPO to program, który składa się z 54 inwestycji i 48 reform. W części tego dokumentu oznaczonego jako Komponent F „Poprawa jakości instytucji i warunków realizacji Krajowego Planu Odbudowy i Zwiększania Odporności” umieszczony został pkt F2.1 „Usprawnienie procesu stanowienia prawa”, który</w:t>
      </w:r>
      <w:r>
        <w:rPr>
          <w:rFonts w:ascii="Times New Roman" w:eastAsia="Calibri" w:hAnsi="Times New Roman" w:cs="Times New Roman"/>
          <w:sz w:val="24"/>
          <w:szCs w:val="24"/>
        </w:rPr>
        <w:t xml:space="preserve"> – uwzględniając zmianę wprowadzoną na mocy </w:t>
      </w:r>
      <w:r w:rsidRPr="00BF3555">
        <w:rPr>
          <w:rFonts w:ascii="Times New Roman" w:eastAsia="Calibri" w:hAnsi="Times New Roman" w:cs="Times New Roman"/>
          <w:sz w:val="24"/>
          <w:szCs w:val="24"/>
        </w:rPr>
        <w:t xml:space="preserve">Decyzji wykonawczej Rady 2024/0158 (NLE) </w:t>
      </w:r>
      <w:r>
        <w:rPr>
          <w:rFonts w:ascii="Times New Roman" w:eastAsia="Calibri" w:hAnsi="Times New Roman" w:cs="Times New Roman"/>
          <w:sz w:val="24"/>
          <w:szCs w:val="24"/>
        </w:rPr>
        <w:t xml:space="preserve">z 1 lipca 2024 r. </w:t>
      </w:r>
      <w:r w:rsidRPr="00BF3555">
        <w:rPr>
          <w:rFonts w:ascii="Times New Roman" w:eastAsia="Calibri" w:hAnsi="Times New Roman" w:cs="Times New Roman"/>
          <w:sz w:val="24"/>
          <w:szCs w:val="24"/>
        </w:rPr>
        <w:t>zmieniającej decyzję wykonawczą (UE) (ST 9728/22 INIT; ST 9728/22 ADD 1) z dnia 17 czerwca 2022 r. w sprawie zatwierdzenia oceny planu odbudowy i zwiększania odporności Polski</w:t>
      </w:r>
      <w:r>
        <w:rPr>
          <w:rFonts w:ascii="Times New Roman" w:eastAsia="Calibri" w:hAnsi="Times New Roman" w:cs="Times New Roman"/>
          <w:sz w:val="24"/>
          <w:szCs w:val="24"/>
        </w:rPr>
        <w:t xml:space="preserve"> – </w:t>
      </w:r>
      <w:r w:rsidRPr="00B1381C">
        <w:rPr>
          <w:rFonts w:ascii="Times New Roman" w:eastAsia="Calibri" w:hAnsi="Times New Roman" w:cs="Times New Roman"/>
          <w:sz w:val="24"/>
          <w:szCs w:val="24"/>
        </w:rPr>
        <w:t>brzmi:</w:t>
      </w:r>
    </w:p>
    <w:p w14:paraId="23D53996" w14:textId="77777777" w:rsidR="003806D9" w:rsidRPr="00B1381C" w:rsidRDefault="003806D9" w:rsidP="003806D9">
      <w:pPr>
        <w:spacing w:after="120" w:line="360" w:lineRule="auto"/>
        <w:ind w:firstLine="708"/>
        <w:rPr>
          <w:rFonts w:ascii="Times New Roman" w:hAnsi="Times New Roman"/>
          <w:sz w:val="24"/>
        </w:rPr>
      </w:pPr>
      <w:r w:rsidRPr="00B1381C">
        <w:rPr>
          <w:rFonts w:ascii="Times New Roman" w:hAnsi="Times New Roman"/>
          <w:sz w:val="24"/>
        </w:rPr>
        <w:t>„</w:t>
      </w:r>
      <w:r w:rsidRPr="00BF3555">
        <w:rPr>
          <w:rFonts w:ascii="Times New Roman" w:hAnsi="Times New Roman"/>
          <w:sz w:val="24"/>
        </w:rPr>
        <w:t>Wejście w życie nowelizacji do Regulaminu Sejmu, która</w:t>
      </w:r>
      <w:r>
        <w:rPr>
          <w:rFonts w:ascii="Times New Roman" w:hAnsi="Times New Roman"/>
          <w:sz w:val="24"/>
        </w:rPr>
        <w:t xml:space="preserve"> </w:t>
      </w:r>
      <w:r w:rsidRPr="00BF3555">
        <w:rPr>
          <w:rFonts w:ascii="Times New Roman" w:hAnsi="Times New Roman"/>
          <w:sz w:val="24"/>
        </w:rPr>
        <w:t>ograniczy stosowanie procedur przyspieszonych do</w:t>
      </w:r>
      <w:r>
        <w:rPr>
          <w:rFonts w:ascii="Times New Roman" w:hAnsi="Times New Roman"/>
          <w:sz w:val="24"/>
        </w:rPr>
        <w:t xml:space="preserve"> </w:t>
      </w:r>
      <w:r w:rsidRPr="00BF3555">
        <w:rPr>
          <w:rFonts w:ascii="Times New Roman" w:hAnsi="Times New Roman"/>
          <w:sz w:val="24"/>
        </w:rPr>
        <w:t>uzasadnionych przypadków i wprowadzi obowiązek</w:t>
      </w:r>
      <w:r>
        <w:rPr>
          <w:rFonts w:ascii="Times New Roman" w:hAnsi="Times New Roman"/>
          <w:sz w:val="24"/>
        </w:rPr>
        <w:t xml:space="preserve"> </w:t>
      </w:r>
      <w:r w:rsidRPr="00BF3555">
        <w:rPr>
          <w:rFonts w:ascii="Times New Roman" w:hAnsi="Times New Roman"/>
          <w:sz w:val="24"/>
        </w:rPr>
        <w:t>przeprowadzania oceny skutków regulacji oraz konsultacji</w:t>
      </w:r>
      <w:r>
        <w:rPr>
          <w:rFonts w:ascii="Times New Roman" w:hAnsi="Times New Roman"/>
          <w:sz w:val="24"/>
        </w:rPr>
        <w:t xml:space="preserve"> </w:t>
      </w:r>
      <w:r w:rsidRPr="00BF3555">
        <w:rPr>
          <w:rFonts w:ascii="Times New Roman" w:hAnsi="Times New Roman"/>
          <w:sz w:val="24"/>
        </w:rPr>
        <w:t>społecznych w przypadku projektów ustaw zgłaszanych</w:t>
      </w:r>
      <w:r>
        <w:rPr>
          <w:rFonts w:ascii="Times New Roman" w:hAnsi="Times New Roman"/>
          <w:sz w:val="24"/>
        </w:rPr>
        <w:t xml:space="preserve"> </w:t>
      </w:r>
      <w:r w:rsidRPr="00BF3555">
        <w:rPr>
          <w:rFonts w:ascii="Times New Roman" w:hAnsi="Times New Roman"/>
          <w:sz w:val="24"/>
        </w:rPr>
        <w:t>przez posłów, z wyjątkiem uzasadnionych przypadków</w:t>
      </w:r>
      <w:r>
        <w:rPr>
          <w:rFonts w:ascii="Times New Roman" w:hAnsi="Times New Roman"/>
          <w:sz w:val="24"/>
        </w:rPr>
        <w:t>”</w:t>
      </w:r>
      <w:r w:rsidRPr="00BF3555">
        <w:rPr>
          <w:rFonts w:ascii="Times New Roman" w:hAnsi="Times New Roman"/>
          <w:sz w:val="24"/>
        </w:rPr>
        <w:t>.</w:t>
      </w:r>
    </w:p>
    <w:p w14:paraId="460EFC38" w14:textId="77777777" w:rsidR="003806D9" w:rsidRPr="00B1381C" w:rsidRDefault="003806D9" w:rsidP="003806D9">
      <w:pPr>
        <w:spacing w:after="120" w:line="360" w:lineRule="auto"/>
        <w:ind w:firstLine="708"/>
        <w:rPr>
          <w:rFonts w:ascii="Times New Roman" w:eastAsia="Calibri" w:hAnsi="Times New Roman" w:cs="Times New Roman"/>
          <w:sz w:val="24"/>
          <w:szCs w:val="24"/>
        </w:rPr>
      </w:pPr>
      <w:r>
        <w:rPr>
          <w:rFonts w:ascii="Times New Roman" w:hAnsi="Times New Roman"/>
          <w:sz w:val="24"/>
        </w:rPr>
        <w:t xml:space="preserve">Termin wdrożenia ww. reformy określono na </w:t>
      </w:r>
      <w:r w:rsidRPr="00B1381C">
        <w:rPr>
          <w:rFonts w:ascii="Times New Roman" w:hAnsi="Times New Roman"/>
          <w:sz w:val="24"/>
        </w:rPr>
        <w:t>30 września 2022 roku.</w:t>
      </w:r>
    </w:p>
    <w:p w14:paraId="47EECA2F" w14:textId="77777777" w:rsidR="003806D9" w:rsidRDefault="003806D9" w:rsidP="003806D9">
      <w:pPr>
        <w:spacing w:after="120" w:line="360" w:lineRule="auto"/>
        <w:ind w:firstLine="708"/>
        <w:rPr>
          <w:rFonts w:ascii="Times New Roman" w:eastAsia="Calibri" w:hAnsi="Times New Roman" w:cs="Times New Roman"/>
          <w:sz w:val="24"/>
          <w:szCs w:val="24"/>
        </w:rPr>
      </w:pPr>
      <w:r w:rsidRPr="00B1381C">
        <w:rPr>
          <w:rFonts w:ascii="Times New Roman" w:eastAsia="Calibri" w:hAnsi="Times New Roman" w:cs="Times New Roman"/>
          <w:sz w:val="24"/>
          <w:szCs w:val="24"/>
        </w:rPr>
        <w:t xml:space="preserve">Jakkolwiek zakres tej reformy </w:t>
      </w:r>
      <w:r>
        <w:rPr>
          <w:rFonts w:ascii="Times New Roman" w:eastAsia="Calibri" w:hAnsi="Times New Roman" w:cs="Times New Roman"/>
          <w:sz w:val="24"/>
          <w:szCs w:val="24"/>
        </w:rPr>
        <w:t>dotyczył przyjęcia</w:t>
      </w:r>
      <w:r w:rsidRPr="00B1381C">
        <w:rPr>
          <w:rFonts w:ascii="Times New Roman" w:eastAsia="Calibri" w:hAnsi="Times New Roman" w:cs="Times New Roman"/>
          <w:sz w:val="24"/>
          <w:szCs w:val="24"/>
        </w:rPr>
        <w:t xml:space="preserve"> odpowiednich zmian przepisów Regulaminu Sejmu</w:t>
      </w:r>
      <w:r>
        <w:rPr>
          <w:rFonts w:ascii="Times New Roman" w:eastAsia="Calibri" w:hAnsi="Times New Roman" w:cs="Times New Roman"/>
          <w:sz w:val="24"/>
          <w:szCs w:val="24"/>
        </w:rPr>
        <w:t xml:space="preserve"> – co zostało dokonane poprzez podjęcie </w:t>
      </w:r>
      <w:r w:rsidRPr="00BF3555">
        <w:rPr>
          <w:rFonts w:ascii="Times New Roman" w:eastAsia="Calibri" w:hAnsi="Times New Roman" w:cs="Times New Roman"/>
          <w:sz w:val="24"/>
          <w:szCs w:val="24"/>
        </w:rPr>
        <w:t>przez Sejm</w:t>
      </w:r>
      <w:r>
        <w:rPr>
          <w:rFonts w:ascii="Times New Roman" w:eastAsia="Calibri" w:hAnsi="Times New Roman" w:cs="Times New Roman"/>
          <w:sz w:val="24"/>
          <w:szCs w:val="24"/>
        </w:rPr>
        <w:t xml:space="preserve"> uchwały z 26 lipca 2024 r. </w:t>
      </w:r>
      <w:r w:rsidRPr="006629FC">
        <w:rPr>
          <w:rFonts w:ascii="Times New Roman" w:eastAsia="Calibri" w:hAnsi="Times New Roman" w:cs="Times New Roman"/>
          <w:sz w:val="24"/>
          <w:szCs w:val="24"/>
        </w:rPr>
        <w:t xml:space="preserve">w sprawie zmiany Regulaminu Sejmu Rzeczypospolitej Polskiej </w:t>
      </w:r>
      <w:r>
        <w:rPr>
          <w:rFonts w:ascii="Times New Roman" w:eastAsia="Calibri" w:hAnsi="Times New Roman" w:cs="Times New Roman"/>
          <w:sz w:val="24"/>
          <w:szCs w:val="24"/>
        </w:rPr>
        <w:t xml:space="preserve">(M.P. poz. 751), w której przewidziano, iż większość przepisów wchodzi w życie </w:t>
      </w:r>
      <w:r w:rsidRPr="00FA311D">
        <w:rPr>
          <w:rFonts w:ascii="Times New Roman" w:eastAsia="Calibri" w:hAnsi="Times New Roman" w:cs="Times New Roman"/>
          <w:sz w:val="24"/>
          <w:szCs w:val="24"/>
        </w:rPr>
        <w:t>po upływie 14 dni od dnia ogłoszenia</w:t>
      </w:r>
      <w:r>
        <w:rPr>
          <w:rFonts w:ascii="Times New Roman" w:eastAsia="Calibri" w:hAnsi="Times New Roman" w:cs="Times New Roman"/>
          <w:sz w:val="24"/>
          <w:szCs w:val="24"/>
        </w:rPr>
        <w:t xml:space="preserve"> – </w:t>
      </w:r>
      <w:r w:rsidRPr="00B1381C">
        <w:rPr>
          <w:rFonts w:ascii="Times New Roman" w:eastAsia="Calibri" w:hAnsi="Times New Roman" w:cs="Times New Roman"/>
          <w:sz w:val="24"/>
          <w:szCs w:val="24"/>
        </w:rPr>
        <w:t xml:space="preserve">to wdrożenie obowiązku przeprowadzania konsultacji społecznych wymaga równoległego wprowadzenia ustawowych podstaw funkcjonowania nowej instytucji prawnej. W uzasadnieniu przedstawionego przez Prezydium Sejmu projektu </w:t>
      </w:r>
      <w:r>
        <w:rPr>
          <w:rFonts w:ascii="Times New Roman" w:eastAsia="Calibri" w:hAnsi="Times New Roman" w:cs="Times New Roman"/>
          <w:sz w:val="24"/>
          <w:szCs w:val="24"/>
        </w:rPr>
        <w:t>ww. uchwały</w:t>
      </w:r>
      <w:r w:rsidRPr="00B1381C">
        <w:rPr>
          <w:rFonts w:ascii="Times New Roman" w:eastAsia="Calibri" w:hAnsi="Times New Roman" w:cs="Times New Roman"/>
          <w:sz w:val="24"/>
          <w:szCs w:val="24"/>
        </w:rPr>
        <w:t xml:space="preserve"> (druk sejmowy nr 3</w:t>
      </w:r>
      <w:r>
        <w:rPr>
          <w:rFonts w:ascii="Times New Roman" w:eastAsia="Calibri" w:hAnsi="Times New Roman" w:cs="Times New Roman"/>
          <w:sz w:val="24"/>
          <w:szCs w:val="24"/>
        </w:rPr>
        <w:t>89</w:t>
      </w:r>
      <w:r w:rsidRPr="00B1381C">
        <w:rPr>
          <w:rFonts w:ascii="Times New Roman" w:eastAsia="Calibri" w:hAnsi="Times New Roman" w:cs="Times New Roman"/>
          <w:sz w:val="24"/>
          <w:szCs w:val="24"/>
        </w:rPr>
        <w:t xml:space="preserve">), stwierdzono, „iż </w:t>
      </w:r>
      <w:r>
        <w:rPr>
          <w:rFonts w:ascii="Times New Roman" w:eastAsia="Calibri" w:hAnsi="Times New Roman" w:cs="Times New Roman"/>
          <w:sz w:val="24"/>
          <w:szCs w:val="24"/>
        </w:rPr>
        <w:t xml:space="preserve">z </w:t>
      </w:r>
      <w:r w:rsidRPr="00B1381C">
        <w:rPr>
          <w:rFonts w:ascii="Times New Roman" w:eastAsia="Calibri" w:hAnsi="Times New Roman" w:cs="Times New Roman"/>
          <w:sz w:val="24"/>
          <w:szCs w:val="24"/>
        </w:rPr>
        <w:t xml:space="preserve">uwagi na konieczność określenia zakresu i zasad </w:t>
      </w:r>
      <w:r w:rsidRPr="00B1381C">
        <w:rPr>
          <w:rFonts w:ascii="Times New Roman" w:eastAsia="Calibri" w:hAnsi="Times New Roman" w:cs="Times New Roman"/>
          <w:sz w:val="24"/>
          <w:szCs w:val="24"/>
        </w:rPr>
        <w:lastRenderedPageBreak/>
        <w:t>przetwarzania danych osobowych uczestników konsultacji, a także zasadność wprowadzenia podstaw moderowania wypowiedzi uczestników konsultacji w celu przeciwdziałania zamieszczaniu treści sprzecznych z prawem (np. tzw. mowy nienawiści) niezbędne jest określenie ram prawnych projektowanej instytucji w przepisach ustawowych, przy czym właściwe będzie odpowiednie uzupełnienie przepisów ustawy z dnia 7 lipca 2005 r. o</w:t>
      </w:r>
      <w:r>
        <w:rPr>
          <w:rFonts w:ascii="Times New Roman" w:eastAsia="Calibri" w:hAnsi="Times New Roman" w:cs="Times New Roman"/>
          <w:sz w:val="24"/>
          <w:szCs w:val="24"/>
        </w:rPr>
        <w:t> </w:t>
      </w:r>
      <w:r w:rsidRPr="00B1381C">
        <w:rPr>
          <w:rFonts w:ascii="Times New Roman" w:eastAsia="Calibri" w:hAnsi="Times New Roman" w:cs="Times New Roman"/>
          <w:sz w:val="24"/>
          <w:szCs w:val="24"/>
        </w:rPr>
        <w:t xml:space="preserve">działalności lobbingowej w procesie stanowienia prawa (Dz. U. z 2017 r. poz. 248)”. </w:t>
      </w:r>
    </w:p>
    <w:p w14:paraId="2ECF3EBF" w14:textId="77777777" w:rsidR="003806D9" w:rsidRPr="00BF3555" w:rsidRDefault="003806D9" w:rsidP="003806D9">
      <w:pPr>
        <w:spacing w:after="120" w:line="360" w:lineRule="auto"/>
        <w:ind w:firstLine="708"/>
        <w:rPr>
          <w:rFonts w:ascii="Times New Roman" w:eastAsia="Calibri" w:hAnsi="Times New Roman" w:cs="Times New Roman"/>
          <w:sz w:val="24"/>
          <w:szCs w:val="24"/>
        </w:rPr>
      </w:pPr>
    </w:p>
    <w:p w14:paraId="5FA6FEC6" w14:textId="77777777" w:rsidR="003806D9" w:rsidRPr="00B1381C" w:rsidRDefault="003806D9" w:rsidP="003806D9">
      <w:pPr>
        <w:suppressAutoHyphens/>
        <w:spacing w:after="120" w:line="360" w:lineRule="auto"/>
        <w:ind w:left="510" w:hanging="510"/>
        <w:rPr>
          <w:rFonts w:ascii="Times New Roman" w:eastAsia="Times New Roman" w:hAnsi="Times New Roman" w:cs="Times New Roman"/>
          <w:b/>
          <w:bCs/>
          <w:sz w:val="24"/>
          <w:szCs w:val="24"/>
        </w:rPr>
      </w:pPr>
      <w:r w:rsidRPr="00B1381C">
        <w:rPr>
          <w:rFonts w:ascii="Times New Roman" w:eastAsia="Times New Roman" w:hAnsi="Times New Roman" w:cs="Times New Roman"/>
          <w:b/>
          <w:bCs/>
          <w:sz w:val="24"/>
          <w:szCs w:val="24"/>
        </w:rPr>
        <w:t>2.</w:t>
      </w:r>
      <w:r w:rsidRPr="00B1381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Opis projektowanych rozwiązań</w:t>
      </w:r>
    </w:p>
    <w:p w14:paraId="2488E685" w14:textId="77777777" w:rsidR="003806D9" w:rsidRPr="001F3A2E" w:rsidRDefault="003806D9" w:rsidP="003806D9">
      <w:pPr>
        <w:suppressAutoHyphens/>
        <w:spacing w:after="120" w:line="360" w:lineRule="auto"/>
        <w:ind w:firstLine="708"/>
        <w:rPr>
          <w:rFonts w:ascii="Times New Roman" w:eastAsia="Times New Roman" w:hAnsi="Times New Roman" w:cs="Times New Roman"/>
          <w:bCs/>
          <w:sz w:val="24"/>
        </w:rPr>
      </w:pPr>
      <w:r>
        <w:rPr>
          <w:rFonts w:ascii="Times New Roman" w:eastAsia="Times New Roman" w:hAnsi="Times New Roman" w:cs="Times New Roman"/>
          <w:bCs/>
          <w:sz w:val="24"/>
        </w:rPr>
        <w:t xml:space="preserve">Jakkolwiek, jak już wspomniano, przepisy projektowanej ustawy mają charakter uzupełniający przyjęte przez Sejm 26 lipca 2024 r. przepisy regulaminowe, przed omówieniem poszczególnych przepisów projektu warto pokrótce odnieść się do kształtu projektowanej instytucji w świetle dotychczasowych przepisów. </w:t>
      </w:r>
      <w:r w:rsidRPr="001F3A2E">
        <w:rPr>
          <w:rFonts w:ascii="Times New Roman" w:eastAsia="Times New Roman" w:hAnsi="Times New Roman" w:cs="Times New Roman"/>
          <w:bCs/>
          <w:sz w:val="24"/>
        </w:rPr>
        <w:t>W obecnym stanie prawnym przedkładane w</w:t>
      </w:r>
      <w:r>
        <w:rPr>
          <w:rFonts w:ascii="Times New Roman" w:eastAsia="Times New Roman" w:hAnsi="Times New Roman" w:cs="Times New Roman"/>
          <w:bCs/>
          <w:sz w:val="24"/>
        </w:rPr>
        <w:t> </w:t>
      </w:r>
      <w:r w:rsidRPr="001F3A2E">
        <w:rPr>
          <w:rFonts w:ascii="Times New Roman" w:eastAsia="Times New Roman" w:hAnsi="Times New Roman" w:cs="Times New Roman"/>
          <w:bCs/>
          <w:sz w:val="24"/>
        </w:rPr>
        <w:t>Sejmie projekty ustaw nie są poddawane szerokim konsultacjom społecznym. Wprawdzie w</w:t>
      </w:r>
      <w:r>
        <w:rPr>
          <w:rFonts w:ascii="Times New Roman" w:eastAsia="Times New Roman" w:hAnsi="Times New Roman" w:cs="Times New Roman"/>
          <w:bCs/>
          <w:sz w:val="24"/>
        </w:rPr>
        <w:t> </w:t>
      </w:r>
      <w:r w:rsidRPr="001F3A2E">
        <w:rPr>
          <w:rFonts w:ascii="Times New Roman" w:eastAsia="Times New Roman" w:hAnsi="Times New Roman" w:cs="Times New Roman"/>
          <w:bCs/>
          <w:sz w:val="24"/>
        </w:rPr>
        <w:t xml:space="preserve">art. 34 ust. 3 Regulaminu Sejmu </w:t>
      </w:r>
      <w:r>
        <w:rPr>
          <w:rFonts w:ascii="Times New Roman" w:eastAsia="Times New Roman" w:hAnsi="Times New Roman" w:cs="Times New Roman"/>
          <w:bCs/>
          <w:sz w:val="24"/>
        </w:rPr>
        <w:t xml:space="preserve">(którego treść zmodyfikowano ww. uchwałą Sejmu z 26 lipca 2024 r.) </w:t>
      </w:r>
      <w:r w:rsidRPr="001F3A2E">
        <w:rPr>
          <w:rFonts w:ascii="Times New Roman" w:eastAsia="Times New Roman" w:hAnsi="Times New Roman" w:cs="Times New Roman"/>
          <w:bCs/>
          <w:sz w:val="24"/>
        </w:rPr>
        <w:t>nakłada się na wnioskodawcę obowiązek przedstawienia w uzasadnieniu projektu „informacj</w:t>
      </w:r>
      <w:r>
        <w:rPr>
          <w:rFonts w:ascii="Times New Roman" w:eastAsia="Times New Roman" w:hAnsi="Times New Roman" w:cs="Times New Roman"/>
          <w:bCs/>
          <w:sz w:val="24"/>
        </w:rPr>
        <w:t>i</w:t>
      </w:r>
      <w:r w:rsidRPr="001F3A2E">
        <w:rPr>
          <w:rFonts w:ascii="Times New Roman" w:eastAsia="Times New Roman" w:hAnsi="Times New Roman" w:cs="Times New Roman"/>
          <w:bCs/>
          <w:sz w:val="24"/>
        </w:rPr>
        <w:t xml:space="preserve"> o zasięgniętych opiniach” </w:t>
      </w:r>
      <w:r>
        <w:rPr>
          <w:rFonts w:ascii="Times New Roman" w:eastAsia="Times New Roman" w:hAnsi="Times New Roman" w:cs="Times New Roman"/>
          <w:bCs/>
          <w:sz w:val="24"/>
        </w:rPr>
        <w:t xml:space="preserve">dotyczących danego projektu </w:t>
      </w:r>
      <w:r w:rsidRPr="001F3A2E">
        <w:rPr>
          <w:rFonts w:ascii="Times New Roman" w:eastAsia="Times New Roman" w:hAnsi="Times New Roman" w:cs="Times New Roman"/>
          <w:bCs/>
          <w:sz w:val="24"/>
        </w:rPr>
        <w:t xml:space="preserve">(względnie, w przypadku projektów komisyjnych i poselskich, również Marszałek Sejmu może skierować projekt do </w:t>
      </w:r>
      <w:r>
        <w:rPr>
          <w:rFonts w:ascii="Times New Roman" w:eastAsia="Times New Roman" w:hAnsi="Times New Roman" w:cs="Times New Roman"/>
          <w:bCs/>
          <w:sz w:val="24"/>
        </w:rPr>
        <w:t>zaopiniowania</w:t>
      </w:r>
      <w:r w:rsidRPr="001F3A2E">
        <w:rPr>
          <w:rFonts w:ascii="Times New Roman" w:eastAsia="Times New Roman" w:hAnsi="Times New Roman" w:cs="Times New Roman"/>
          <w:bCs/>
          <w:sz w:val="24"/>
        </w:rPr>
        <w:t xml:space="preserve">), jednak </w:t>
      </w:r>
      <w:r>
        <w:rPr>
          <w:rFonts w:ascii="Times New Roman" w:eastAsia="Times New Roman" w:hAnsi="Times New Roman" w:cs="Times New Roman"/>
          <w:bCs/>
          <w:sz w:val="24"/>
        </w:rPr>
        <w:t xml:space="preserve">czynności te składają się na przeprowadzenie </w:t>
      </w:r>
      <w:r w:rsidRPr="001F3A2E">
        <w:rPr>
          <w:rFonts w:ascii="Times New Roman" w:eastAsia="Times New Roman" w:hAnsi="Times New Roman" w:cs="Times New Roman"/>
          <w:bCs/>
          <w:sz w:val="24"/>
        </w:rPr>
        <w:t>konsultacj</w:t>
      </w:r>
      <w:r>
        <w:rPr>
          <w:rFonts w:ascii="Times New Roman" w:eastAsia="Times New Roman" w:hAnsi="Times New Roman" w:cs="Times New Roman"/>
          <w:bCs/>
          <w:sz w:val="24"/>
        </w:rPr>
        <w:t>i,</w:t>
      </w:r>
      <w:r w:rsidRPr="001F3A2E">
        <w:rPr>
          <w:rFonts w:ascii="Times New Roman" w:eastAsia="Times New Roman" w:hAnsi="Times New Roman" w:cs="Times New Roman"/>
          <w:bCs/>
          <w:sz w:val="24"/>
        </w:rPr>
        <w:t xml:space="preserve"> </w:t>
      </w:r>
      <w:r>
        <w:rPr>
          <w:rFonts w:ascii="Times New Roman" w:eastAsia="Times New Roman" w:hAnsi="Times New Roman" w:cs="Times New Roman"/>
          <w:bCs/>
          <w:sz w:val="24"/>
        </w:rPr>
        <w:t>które</w:t>
      </w:r>
      <w:r w:rsidRPr="001F3A2E">
        <w:rPr>
          <w:rFonts w:ascii="Times New Roman" w:eastAsia="Times New Roman" w:hAnsi="Times New Roman" w:cs="Times New Roman"/>
          <w:bCs/>
          <w:sz w:val="24"/>
        </w:rPr>
        <w:t xml:space="preserve"> mają w</w:t>
      </w:r>
      <w:r>
        <w:rPr>
          <w:rFonts w:ascii="Times New Roman" w:eastAsia="Times New Roman" w:hAnsi="Times New Roman" w:cs="Times New Roman"/>
          <w:bCs/>
          <w:sz w:val="24"/>
        </w:rPr>
        <w:t> </w:t>
      </w:r>
      <w:r w:rsidRPr="001F3A2E">
        <w:rPr>
          <w:rFonts w:ascii="Times New Roman" w:eastAsia="Times New Roman" w:hAnsi="Times New Roman" w:cs="Times New Roman"/>
          <w:bCs/>
          <w:sz w:val="24"/>
        </w:rPr>
        <w:t xml:space="preserve">istocie charakter „instytucjonalny”. Co do zasady uczestniczą w nich wyłącznie podmioty, w odniesieniu do których prawo do udziału w konsultacjach ma podstawy ustawowe, np. Sąd Najwyższy, Krajowa Rada Sądownictwa, Krajowa Rada Radców Prawnych czy Naczelna Rada Adwokacka. Co więcej, </w:t>
      </w:r>
      <w:r>
        <w:rPr>
          <w:rFonts w:ascii="Times New Roman" w:eastAsia="Times New Roman" w:hAnsi="Times New Roman" w:cs="Times New Roman"/>
          <w:bCs/>
          <w:sz w:val="24"/>
        </w:rPr>
        <w:t>dotychczasowy</w:t>
      </w:r>
      <w:r w:rsidRPr="001F3A2E">
        <w:rPr>
          <w:rFonts w:ascii="Times New Roman" w:eastAsia="Times New Roman" w:hAnsi="Times New Roman" w:cs="Times New Roman"/>
          <w:bCs/>
          <w:sz w:val="24"/>
        </w:rPr>
        <w:t xml:space="preserve"> stan prawny dotyczący uprawnienia do udziału w</w:t>
      </w:r>
      <w:r>
        <w:rPr>
          <w:rFonts w:ascii="Times New Roman" w:eastAsia="Times New Roman" w:hAnsi="Times New Roman" w:cs="Times New Roman"/>
          <w:bCs/>
          <w:sz w:val="24"/>
        </w:rPr>
        <w:t> </w:t>
      </w:r>
      <w:r w:rsidRPr="001F3A2E">
        <w:rPr>
          <w:rFonts w:ascii="Times New Roman" w:eastAsia="Times New Roman" w:hAnsi="Times New Roman" w:cs="Times New Roman"/>
          <w:bCs/>
          <w:sz w:val="24"/>
        </w:rPr>
        <w:t>konsultacjach wywoł</w:t>
      </w:r>
      <w:r>
        <w:rPr>
          <w:rFonts w:ascii="Times New Roman" w:eastAsia="Times New Roman" w:hAnsi="Times New Roman" w:cs="Times New Roman"/>
          <w:bCs/>
          <w:sz w:val="24"/>
        </w:rPr>
        <w:t>ywał</w:t>
      </w:r>
      <w:r w:rsidRPr="001F3A2E">
        <w:rPr>
          <w:rFonts w:ascii="Times New Roman" w:eastAsia="Times New Roman" w:hAnsi="Times New Roman" w:cs="Times New Roman"/>
          <w:bCs/>
          <w:sz w:val="24"/>
        </w:rPr>
        <w:t xml:space="preserve"> liczne wątpliwości doktrynalne (zob. np. E. Popławska, </w:t>
      </w:r>
      <w:r w:rsidRPr="001F3A2E">
        <w:rPr>
          <w:rFonts w:ascii="Times New Roman" w:eastAsia="Times New Roman" w:hAnsi="Times New Roman" w:cs="Times New Roman"/>
          <w:bCs/>
          <w:i/>
          <w:iCs/>
          <w:sz w:val="24"/>
        </w:rPr>
        <w:t>Konsultacje społeczne jako instrument kontroli legalności ustawy w Sejmie</w:t>
      </w:r>
      <w:r w:rsidRPr="001F3A2E">
        <w:rPr>
          <w:rFonts w:ascii="Times New Roman" w:eastAsia="Times New Roman" w:hAnsi="Times New Roman" w:cs="Times New Roman"/>
          <w:bCs/>
          <w:sz w:val="24"/>
        </w:rPr>
        <w:t xml:space="preserve">, [w:] </w:t>
      </w:r>
      <w:r w:rsidRPr="001F3A2E">
        <w:rPr>
          <w:rFonts w:ascii="Times New Roman" w:eastAsia="Times New Roman" w:hAnsi="Times New Roman" w:cs="Times New Roman"/>
          <w:bCs/>
          <w:i/>
          <w:iCs/>
          <w:sz w:val="24"/>
        </w:rPr>
        <w:t>Kontrola legalności ustawy w Sejmie</w:t>
      </w:r>
      <w:r w:rsidRPr="001F3A2E">
        <w:rPr>
          <w:rFonts w:ascii="Times New Roman" w:eastAsia="Times New Roman" w:hAnsi="Times New Roman" w:cs="Times New Roman"/>
          <w:bCs/>
          <w:sz w:val="24"/>
        </w:rPr>
        <w:t>, red. P. Radziewicz, Warszawa 2015).</w:t>
      </w:r>
    </w:p>
    <w:p w14:paraId="33004812" w14:textId="77777777" w:rsidR="003806D9" w:rsidRDefault="003806D9" w:rsidP="003806D9">
      <w:pPr>
        <w:suppressAutoHyphens/>
        <w:spacing w:after="120" w:line="360" w:lineRule="auto"/>
        <w:ind w:firstLine="708"/>
        <w:rPr>
          <w:rFonts w:ascii="Times New Roman" w:eastAsia="Times New Roman" w:hAnsi="Times New Roman" w:cs="Times New Roman"/>
          <w:bCs/>
          <w:sz w:val="24"/>
        </w:rPr>
      </w:pPr>
      <w:r w:rsidRPr="001F3A2E">
        <w:rPr>
          <w:rFonts w:ascii="Times New Roman" w:eastAsia="Times New Roman" w:hAnsi="Times New Roman" w:cs="Times New Roman"/>
          <w:bCs/>
          <w:sz w:val="24"/>
        </w:rPr>
        <w:t xml:space="preserve">Projektowana instytucja </w:t>
      </w:r>
      <w:r>
        <w:rPr>
          <w:rFonts w:ascii="Times New Roman" w:eastAsia="Times New Roman" w:hAnsi="Times New Roman" w:cs="Times New Roman"/>
          <w:bCs/>
          <w:sz w:val="24"/>
        </w:rPr>
        <w:t xml:space="preserve">konsultacji społecznych </w:t>
      </w:r>
      <w:r w:rsidRPr="001F3A2E">
        <w:rPr>
          <w:rFonts w:ascii="Times New Roman" w:eastAsia="Times New Roman" w:hAnsi="Times New Roman" w:cs="Times New Roman"/>
          <w:bCs/>
          <w:sz w:val="24"/>
        </w:rPr>
        <w:t xml:space="preserve">nie zastępuje </w:t>
      </w:r>
      <w:r>
        <w:rPr>
          <w:rFonts w:ascii="Times New Roman" w:eastAsia="Times New Roman" w:hAnsi="Times New Roman" w:cs="Times New Roman"/>
          <w:bCs/>
          <w:sz w:val="24"/>
        </w:rPr>
        <w:t>zarysowanego</w:t>
      </w:r>
      <w:r w:rsidRPr="001F3A2E">
        <w:rPr>
          <w:rFonts w:ascii="Times New Roman" w:eastAsia="Times New Roman" w:hAnsi="Times New Roman" w:cs="Times New Roman"/>
          <w:bCs/>
          <w:sz w:val="24"/>
        </w:rPr>
        <w:t xml:space="preserve"> mechanizmu konsultacyjnego, </w:t>
      </w:r>
      <w:r>
        <w:rPr>
          <w:rFonts w:ascii="Times New Roman" w:eastAsia="Times New Roman" w:hAnsi="Times New Roman" w:cs="Times New Roman"/>
          <w:bCs/>
          <w:sz w:val="24"/>
        </w:rPr>
        <w:t xml:space="preserve">o którym mowa w art. 34 ust. 3 Regulaminu Sejmu, </w:t>
      </w:r>
      <w:r w:rsidRPr="001F3A2E">
        <w:rPr>
          <w:rFonts w:ascii="Times New Roman" w:eastAsia="Times New Roman" w:hAnsi="Times New Roman" w:cs="Times New Roman"/>
          <w:bCs/>
          <w:sz w:val="24"/>
        </w:rPr>
        <w:t>lecz uzupełnia go o nową, w założeniu powszechnie dostępną, możliwość wyrażenia opinii o</w:t>
      </w:r>
      <w:r>
        <w:rPr>
          <w:rFonts w:ascii="Times New Roman" w:eastAsia="Times New Roman" w:hAnsi="Times New Roman" w:cs="Times New Roman"/>
          <w:bCs/>
          <w:sz w:val="24"/>
        </w:rPr>
        <w:t xml:space="preserve"> niektórych z </w:t>
      </w:r>
      <w:r w:rsidRPr="001F3A2E">
        <w:rPr>
          <w:rFonts w:ascii="Times New Roman" w:eastAsia="Times New Roman" w:hAnsi="Times New Roman" w:cs="Times New Roman"/>
          <w:bCs/>
          <w:sz w:val="24"/>
        </w:rPr>
        <w:t>wniesiony</w:t>
      </w:r>
      <w:r>
        <w:rPr>
          <w:rFonts w:ascii="Times New Roman" w:eastAsia="Times New Roman" w:hAnsi="Times New Roman" w:cs="Times New Roman"/>
          <w:bCs/>
          <w:sz w:val="24"/>
        </w:rPr>
        <w:t>ch</w:t>
      </w:r>
      <w:r w:rsidRPr="001F3A2E">
        <w:rPr>
          <w:rFonts w:ascii="Times New Roman" w:eastAsia="Times New Roman" w:hAnsi="Times New Roman" w:cs="Times New Roman"/>
          <w:bCs/>
          <w:sz w:val="24"/>
        </w:rPr>
        <w:t xml:space="preserve"> do Sejmu projek</w:t>
      </w:r>
      <w:r>
        <w:rPr>
          <w:rFonts w:ascii="Times New Roman" w:eastAsia="Times New Roman" w:hAnsi="Times New Roman" w:cs="Times New Roman"/>
          <w:bCs/>
          <w:sz w:val="24"/>
        </w:rPr>
        <w:t>tach</w:t>
      </w:r>
      <w:r w:rsidRPr="001F3A2E">
        <w:rPr>
          <w:rFonts w:ascii="Times New Roman" w:eastAsia="Times New Roman" w:hAnsi="Times New Roman" w:cs="Times New Roman"/>
          <w:bCs/>
          <w:sz w:val="24"/>
        </w:rPr>
        <w:t xml:space="preserve"> ustaw</w:t>
      </w:r>
      <w:r>
        <w:rPr>
          <w:rFonts w:ascii="Times New Roman" w:eastAsia="Times New Roman" w:hAnsi="Times New Roman" w:cs="Times New Roman"/>
          <w:bCs/>
          <w:sz w:val="24"/>
        </w:rPr>
        <w:t xml:space="preserve">, w szczególności, </w:t>
      </w:r>
      <w:r>
        <w:rPr>
          <w:rFonts w:ascii="Times New Roman" w:eastAsia="Times New Roman" w:hAnsi="Times New Roman" w:cs="Times New Roman"/>
          <w:bCs/>
          <w:sz w:val="24"/>
        </w:rPr>
        <w:lastRenderedPageBreak/>
        <w:t>zgodnie z KPO, o projektach poselskich (zakres projektów poddawanych konsultacjom określono szczegółowo w przepisach Regulaminu Sejmu przyjętych 26 lipca 2024 r.)</w:t>
      </w:r>
      <w:r w:rsidRPr="001F3A2E">
        <w:rPr>
          <w:rFonts w:ascii="Times New Roman" w:eastAsia="Times New Roman" w:hAnsi="Times New Roman" w:cs="Times New Roman"/>
          <w:bCs/>
          <w:sz w:val="24"/>
        </w:rPr>
        <w:t xml:space="preserve">. </w:t>
      </w:r>
      <w:r>
        <w:rPr>
          <w:rFonts w:ascii="Times New Roman" w:eastAsia="Times New Roman" w:hAnsi="Times New Roman" w:cs="Times New Roman"/>
          <w:bCs/>
          <w:sz w:val="24"/>
        </w:rPr>
        <w:t>Wprowadzany mechanizm konsultacyjny stanowi więc nową</w:t>
      </w:r>
      <w:r w:rsidRPr="001F3A2E">
        <w:rPr>
          <w:rFonts w:ascii="Times New Roman" w:eastAsia="Times New Roman" w:hAnsi="Times New Roman" w:cs="Times New Roman"/>
          <w:bCs/>
          <w:sz w:val="24"/>
        </w:rPr>
        <w:t xml:space="preserve"> formę tzw. partycypacji społecznej w postępowaniu ustawodawczym, w wyniku czego właściwe jest wprowadzenie ustawowych podstaw tej instytucji do ustawy o działalności lobbingowej w procesie stanowienia prawa. W myśl art. 2 ust. 1 tej ustawy „działalnością lobbingową jest każde działanie prowadzone metodami prawnie dozwolonymi zmierzające do wywarcia wpływu na organy władzy publicznej w procesie stanowienia prawa”, co stanowi formułę na tyle pojemną, że obejmuje wszelkie mechanizmy partycypacji społecznej, nie tylko tzw. lobbing zawodowy. W ustawie tej uregulowano, w</w:t>
      </w:r>
      <w:r>
        <w:rPr>
          <w:rFonts w:ascii="Times New Roman" w:eastAsia="Times New Roman" w:hAnsi="Times New Roman" w:cs="Times New Roman"/>
          <w:bCs/>
          <w:sz w:val="24"/>
        </w:rPr>
        <w:t> </w:t>
      </w:r>
      <w:r w:rsidRPr="001F3A2E">
        <w:rPr>
          <w:rFonts w:ascii="Times New Roman" w:eastAsia="Times New Roman" w:hAnsi="Times New Roman" w:cs="Times New Roman"/>
          <w:bCs/>
          <w:sz w:val="24"/>
        </w:rPr>
        <w:t>szczególności, ogólne ramy prawne wysłuchania publicznego, w tym w odniesieniu do projektów ustaw wnoszonych do Sejmu (art. 8 ustawy), a więc instytucji, która wykazuje podobieństwo do projektowanych konsultacji społecznych.</w:t>
      </w:r>
    </w:p>
    <w:p w14:paraId="2CD9A685" w14:textId="77777777" w:rsidR="003806D9" w:rsidRPr="00B1381C" w:rsidRDefault="003806D9" w:rsidP="003806D9">
      <w:pPr>
        <w:suppressAutoHyphens/>
        <w:spacing w:after="120" w:line="360" w:lineRule="auto"/>
        <w:ind w:firstLine="708"/>
        <w:rPr>
          <w:rFonts w:ascii="Times New Roman" w:eastAsia="Times New Roman" w:hAnsi="Times New Roman" w:cs="Times New Roman"/>
          <w:bCs/>
          <w:sz w:val="24"/>
        </w:rPr>
      </w:pPr>
      <w:r w:rsidRPr="00B1381C">
        <w:rPr>
          <w:rFonts w:ascii="Times New Roman" w:eastAsia="Times New Roman" w:hAnsi="Times New Roman" w:cs="Times New Roman"/>
          <w:bCs/>
          <w:sz w:val="24"/>
        </w:rPr>
        <w:t xml:space="preserve">W projekcie proponuje się uzupełnienie ustawy o art. 9a-9d. W art. 9a ust. 1 kreuje się nową instytucję prawną konsultacji społecznych projektów ustaw, przy czym zasady ich przeprowadzania (w tym zakres projektów ustaw poddawanych konsultacjom czy czas trwania konsultacji) stanowią materię przepisów Regulaminu Sejmu. W art. </w:t>
      </w:r>
      <w:r w:rsidRPr="00BF3555">
        <w:rPr>
          <w:rFonts w:ascii="Times New Roman" w:eastAsia="Times New Roman" w:hAnsi="Times New Roman" w:cs="Times New Roman"/>
          <w:bCs/>
          <w:sz w:val="24"/>
        </w:rPr>
        <w:t>9a ust. 2 definiuje się uczestnictwo w konsultacjach społecznych jako „zgłoszenie” (czynność jednokrotna) uwag do projektu ustawy. Z kolei w art. 9a ust. 3 określa się ramowy zakres uprawnienia do udziału w</w:t>
      </w:r>
      <w:r>
        <w:rPr>
          <w:rFonts w:ascii="Times New Roman" w:eastAsia="Times New Roman" w:hAnsi="Times New Roman" w:cs="Times New Roman"/>
          <w:bCs/>
          <w:sz w:val="24"/>
        </w:rPr>
        <w:t> </w:t>
      </w:r>
      <w:r w:rsidRPr="00BF3555">
        <w:rPr>
          <w:rFonts w:ascii="Times New Roman" w:eastAsia="Times New Roman" w:hAnsi="Times New Roman" w:cs="Times New Roman"/>
          <w:bCs/>
          <w:sz w:val="24"/>
        </w:rPr>
        <w:t>konsultacjach społecznych, przy czym jest on wzorowany na art. 7 ustawy o działalności lobbingowej w procesie stanowienia prawa (określającym zakres podmiotów, które mogą zgłosić zainteresowanie pracami nad projektem założeń projektu ustawy, projektem ustawy lub projektem rozporządzenia) oraz art. 70b i 70c Regulaminu Sejmu (określających zakres</w:t>
      </w:r>
      <w:r w:rsidRPr="00B1381C">
        <w:rPr>
          <w:rFonts w:ascii="Times New Roman" w:eastAsia="Times New Roman" w:hAnsi="Times New Roman" w:cs="Times New Roman"/>
          <w:bCs/>
          <w:sz w:val="24"/>
        </w:rPr>
        <w:t xml:space="preserve"> podmiotów, które mogą wziąć udział w wysłuchaniu publicznym dotyczącym projektu ustawy rozpatrywanego przez Sejm). W założeniu prawo do udziału w konsultacjach społecznych ma być jak najszersze, co koresponduje z ideą „uspołecznienia” procesu stanowienia prawa. </w:t>
      </w:r>
    </w:p>
    <w:p w14:paraId="34D5F6D6" w14:textId="139402D0" w:rsidR="003806D9" w:rsidRPr="00B1381C" w:rsidRDefault="003806D9" w:rsidP="003806D9">
      <w:pPr>
        <w:suppressAutoHyphens/>
        <w:spacing w:after="120" w:line="360" w:lineRule="auto"/>
        <w:ind w:firstLine="708"/>
        <w:rPr>
          <w:rFonts w:ascii="Times New Roman" w:eastAsia="Times New Roman" w:hAnsi="Times New Roman" w:cs="Times New Roman"/>
          <w:bCs/>
          <w:sz w:val="24"/>
        </w:rPr>
      </w:pPr>
      <w:r>
        <w:rPr>
          <w:rFonts w:ascii="Times New Roman" w:eastAsia="Times New Roman" w:hAnsi="Times New Roman" w:cs="Times New Roman"/>
          <w:bCs/>
          <w:sz w:val="24"/>
        </w:rPr>
        <w:t>W</w:t>
      </w:r>
      <w:r w:rsidRPr="00B1381C">
        <w:rPr>
          <w:rFonts w:ascii="Times New Roman" w:eastAsia="Times New Roman" w:hAnsi="Times New Roman" w:cs="Times New Roman"/>
          <w:bCs/>
          <w:sz w:val="24"/>
        </w:rPr>
        <w:t xml:space="preserve"> art. 9b przewiduje się, że zgłoszenie uwag będzie mogło nastąpić z wykorzystaniem usługi elektronicznej udostępnionej przez ministra właściwego do spraw informatyzacji na podstawie porozumienia, o którym mowa w art. 19c ust. 1 pkt </w:t>
      </w:r>
      <w:r w:rsidRPr="00B1381C">
        <w:rPr>
          <w:rFonts w:ascii="Times New Roman" w:eastAsia="Times New Roman" w:hAnsi="Times New Roman" w:cs="Times New Roman"/>
          <w:bCs/>
          <w:sz w:val="24"/>
        </w:rPr>
        <w:lastRenderedPageBreak/>
        <w:t>1 ustawy z dnia 17 lutego 2005 r. o informatyzacji działalności podmiotów realizujących zadania publiczne (Dz. U. z 2024 r. poz. 307</w:t>
      </w:r>
      <w:r w:rsidR="001C4E95">
        <w:rPr>
          <w:rFonts w:ascii="Times New Roman" w:eastAsia="Times New Roman" w:hAnsi="Times New Roman" w:cs="Times New Roman"/>
          <w:bCs/>
          <w:sz w:val="24"/>
        </w:rPr>
        <w:t xml:space="preserve"> i 1222</w:t>
      </w:r>
      <w:r w:rsidRPr="00B1381C">
        <w:rPr>
          <w:rFonts w:ascii="Times New Roman" w:eastAsia="Times New Roman" w:hAnsi="Times New Roman" w:cs="Times New Roman"/>
          <w:bCs/>
          <w:sz w:val="24"/>
        </w:rPr>
        <w:t xml:space="preserve">), tj. porozumienia w sprawie udostępniania usług na </w:t>
      </w:r>
      <w:proofErr w:type="spellStart"/>
      <w:r w:rsidRPr="00B1381C">
        <w:rPr>
          <w:rFonts w:ascii="Times New Roman" w:eastAsia="Times New Roman" w:hAnsi="Times New Roman" w:cs="Times New Roman"/>
          <w:bCs/>
          <w:sz w:val="24"/>
        </w:rPr>
        <w:t>ePUAP</w:t>
      </w:r>
      <w:proofErr w:type="spellEnd"/>
      <w:r w:rsidRPr="00B1381C">
        <w:rPr>
          <w:rFonts w:ascii="Times New Roman" w:eastAsia="Times New Roman" w:hAnsi="Times New Roman" w:cs="Times New Roman"/>
          <w:bCs/>
          <w:sz w:val="24"/>
        </w:rPr>
        <w:t xml:space="preserve"> lub korzystania z usług sieciowych pozwalających na wykorzystanie profilu zaufanego. Możliwość wzięcia udziału w</w:t>
      </w:r>
      <w:r>
        <w:rPr>
          <w:rFonts w:ascii="Times New Roman" w:eastAsia="Times New Roman" w:hAnsi="Times New Roman" w:cs="Times New Roman"/>
          <w:bCs/>
          <w:sz w:val="24"/>
        </w:rPr>
        <w:t> </w:t>
      </w:r>
      <w:r w:rsidRPr="00B1381C">
        <w:rPr>
          <w:rFonts w:ascii="Times New Roman" w:eastAsia="Times New Roman" w:hAnsi="Times New Roman" w:cs="Times New Roman"/>
          <w:bCs/>
          <w:sz w:val="24"/>
        </w:rPr>
        <w:t>konsultacjach społecznych będzie warunkowana uwierzytelnieniem się osoby zgłaszającej uwagi w sposób określony w art. 20a ust. 1 tej ustawy (tj. z użyciem: 1) środka identyfikacji elektronicznej wydanego w systemie identyfikacji elektronicznej przyłączonym do węzła krajowego identyfikacji elektronicznej, o którym mowa w art. 21a ust. 1 pkt 2 lit. a ustawy z</w:t>
      </w:r>
      <w:r>
        <w:rPr>
          <w:rFonts w:ascii="Times New Roman" w:eastAsia="Times New Roman" w:hAnsi="Times New Roman" w:cs="Times New Roman"/>
          <w:bCs/>
          <w:sz w:val="24"/>
        </w:rPr>
        <w:t> </w:t>
      </w:r>
      <w:r w:rsidRPr="00B1381C">
        <w:rPr>
          <w:rFonts w:ascii="Times New Roman" w:eastAsia="Times New Roman" w:hAnsi="Times New Roman" w:cs="Times New Roman"/>
          <w:bCs/>
          <w:sz w:val="24"/>
        </w:rPr>
        <w:t>dnia 5 września 2016 r. o usługach zaufania oraz identyfikacji elektronicznej</w:t>
      </w:r>
      <w:r>
        <w:rPr>
          <w:rFonts w:ascii="Times New Roman" w:eastAsia="Times New Roman" w:hAnsi="Times New Roman" w:cs="Times New Roman"/>
          <w:bCs/>
          <w:sz w:val="24"/>
        </w:rPr>
        <w:t>,</w:t>
      </w:r>
      <w:r w:rsidRPr="00B1381C">
        <w:rPr>
          <w:rFonts w:ascii="Times New Roman" w:eastAsia="Times New Roman" w:hAnsi="Times New Roman" w:cs="Times New Roman"/>
          <w:bCs/>
          <w:sz w:val="24"/>
        </w:rPr>
        <w:t xml:space="preserve"> Dz. U. z 2021 r. poz. 1797 oraz z 2023 r. poz. 1234, 2) środka identyfikacji elektronicznej wydanego w</w:t>
      </w:r>
      <w:r>
        <w:rPr>
          <w:rFonts w:ascii="Times New Roman" w:eastAsia="Times New Roman" w:hAnsi="Times New Roman" w:cs="Times New Roman"/>
          <w:bCs/>
          <w:sz w:val="24"/>
        </w:rPr>
        <w:t> </w:t>
      </w:r>
      <w:r w:rsidRPr="00B1381C">
        <w:rPr>
          <w:rFonts w:ascii="Times New Roman" w:eastAsia="Times New Roman" w:hAnsi="Times New Roman" w:cs="Times New Roman"/>
          <w:bCs/>
          <w:sz w:val="24"/>
        </w:rPr>
        <w:t>notyfikowanym systemie identyfikacji elektronicznej, lub 3) danych weryfikowanych za pomocą kwalifikowanego certyfikatu podpisu elektronicznego, jeżeli te dane pozwalają na identyfikację i uwierzytelnienie wymagane w celu realizacji usługi online).</w:t>
      </w:r>
    </w:p>
    <w:p w14:paraId="0F6B4444" w14:textId="77777777" w:rsidR="003806D9" w:rsidRPr="00B1381C" w:rsidRDefault="003806D9" w:rsidP="003806D9">
      <w:pPr>
        <w:suppressAutoHyphens/>
        <w:spacing w:after="120" w:line="360" w:lineRule="auto"/>
        <w:ind w:firstLine="708"/>
        <w:rPr>
          <w:rFonts w:ascii="Times New Roman" w:eastAsia="Times New Roman" w:hAnsi="Times New Roman" w:cs="Times New Roman"/>
          <w:bCs/>
          <w:sz w:val="24"/>
        </w:rPr>
      </w:pPr>
      <w:r w:rsidRPr="00B1381C">
        <w:rPr>
          <w:rFonts w:ascii="Times New Roman" w:eastAsia="Times New Roman" w:hAnsi="Times New Roman" w:cs="Times New Roman"/>
          <w:bCs/>
          <w:sz w:val="24"/>
        </w:rPr>
        <w:t xml:space="preserve">W projektowanych art. 9c i 9d określa się zakres, cele oraz czas udostępniania oraz przetwarzania przez Kancelarię Sejmu danych osobowych uczestników konsultacji, co ma ścisły związek </w:t>
      </w:r>
      <w:r>
        <w:rPr>
          <w:rFonts w:ascii="Times New Roman" w:eastAsia="Times New Roman" w:hAnsi="Times New Roman" w:cs="Times New Roman"/>
          <w:bCs/>
          <w:sz w:val="24"/>
        </w:rPr>
        <w:t>z</w:t>
      </w:r>
      <w:r w:rsidRPr="00B1381C">
        <w:rPr>
          <w:rFonts w:ascii="Times New Roman" w:eastAsia="Times New Roman" w:hAnsi="Times New Roman" w:cs="Times New Roman"/>
          <w:bCs/>
          <w:sz w:val="24"/>
        </w:rPr>
        <w:t xml:space="preserve"> wymogami ustanowionymi w rozporządzeniu Parlamentu Europejskiego i</w:t>
      </w:r>
      <w:r>
        <w:rPr>
          <w:rFonts w:ascii="Times New Roman" w:eastAsia="Times New Roman" w:hAnsi="Times New Roman" w:cs="Times New Roman"/>
          <w:bCs/>
          <w:sz w:val="24"/>
        </w:rPr>
        <w:t> </w:t>
      </w:r>
      <w:r w:rsidRPr="00B1381C">
        <w:rPr>
          <w:rFonts w:ascii="Times New Roman" w:eastAsia="Times New Roman" w:hAnsi="Times New Roman" w:cs="Times New Roman"/>
          <w:bCs/>
          <w:sz w:val="24"/>
        </w:rPr>
        <w:t>Rady (UE) 2016/679 z dnia 27 kwietnia 2016 r. w sprawie ochrony osób fizycznych w</w:t>
      </w:r>
      <w:r>
        <w:rPr>
          <w:rFonts w:ascii="Times New Roman" w:eastAsia="Times New Roman" w:hAnsi="Times New Roman" w:cs="Times New Roman"/>
          <w:bCs/>
          <w:sz w:val="24"/>
        </w:rPr>
        <w:t> </w:t>
      </w:r>
      <w:r w:rsidRPr="00B1381C">
        <w:rPr>
          <w:rFonts w:ascii="Times New Roman" w:eastAsia="Times New Roman" w:hAnsi="Times New Roman" w:cs="Times New Roman"/>
          <w:bCs/>
          <w:sz w:val="24"/>
        </w:rPr>
        <w:t xml:space="preserve">związku z przetwarzaniem danych osobowych i w sprawie swobodnego przepływu takich danych oraz uchylenia dyrektywy 95/46/WE (ogólne rozporządzenie o ochronie danych, tzw. RODO, Dz. Urz. UE L 119 z 4.5.2016, s. 1). </w:t>
      </w:r>
      <w:r>
        <w:rPr>
          <w:rFonts w:ascii="Times New Roman" w:eastAsia="Times New Roman" w:hAnsi="Times New Roman" w:cs="Times New Roman"/>
          <w:bCs/>
          <w:sz w:val="24"/>
        </w:rPr>
        <w:t>Szerzej na ten temat zob. pkt 3 formularza Deklarowanych Skutków Regulacji niniejszego projektu.</w:t>
      </w:r>
    </w:p>
    <w:p w14:paraId="212693FC" w14:textId="77777777" w:rsidR="003806D9" w:rsidRPr="00B1381C" w:rsidRDefault="003806D9" w:rsidP="003806D9">
      <w:pPr>
        <w:suppressAutoHyphens/>
        <w:spacing w:after="120" w:line="360" w:lineRule="auto"/>
        <w:ind w:firstLine="708"/>
        <w:rPr>
          <w:rFonts w:ascii="Times New Roman" w:eastAsia="Times New Roman" w:hAnsi="Times New Roman" w:cs="Times New Roman"/>
          <w:bCs/>
          <w:sz w:val="24"/>
        </w:rPr>
      </w:pPr>
      <w:r w:rsidRPr="00B1381C">
        <w:rPr>
          <w:rFonts w:ascii="Times New Roman" w:eastAsia="Times New Roman" w:hAnsi="Times New Roman" w:cs="Times New Roman"/>
          <w:bCs/>
          <w:sz w:val="24"/>
        </w:rPr>
        <w:t xml:space="preserve">W projektowanym art. 9c ust. 2 </w:t>
      </w:r>
      <w:r>
        <w:rPr>
          <w:rFonts w:ascii="Times New Roman" w:eastAsia="Times New Roman" w:hAnsi="Times New Roman" w:cs="Times New Roman"/>
          <w:bCs/>
          <w:sz w:val="24"/>
        </w:rPr>
        <w:t xml:space="preserve">proponuje się ograniczenie przedmiotowego zakresu prawa do udziału w konsultacjach, </w:t>
      </w:r>
      <w:r w:rsidRPr="00B1381C">
        <w:rPr>
          <w:rFonts w:ascii="Times New Roman" w:eastAsia="Times New Roman" w:hAnsi="Times New Roman" w:cs="Times New Roman"/>
          <w:bCs/>
          <w:sz w:val="24"/>
        </w:rPr>
        <w:t>prze</w:t>
      </w:r>
      <w:r>
        <w:rPr>
          <w:rFonts w:ascii="Times New Roman" w:eastAsia="Times New Roman" w:hAnsi="Times New Roman" w:cs="Times New Roman"/>
          <w:bCs/>
          <w:sz w:val="24"/>
        </w:rPr>
        <w:t>widując</w:t>
      </w:r>
      <w:r w:rsidRPr="00B1381C">
        <w:rPr>
          <w:rFonts w:ascii="Times New Roman" w:eastAsia="Times New Roman" w:hAnsi="Times New Roman" w:cs="Times New Roman"/>
          <w:bCs/>
          <w:sz w:val="24"/>
        </w:rPr>
        <w:t xml:space="preserve">, iż nie zostaną udostępnione takie uwagi zgłoszone w toku konsultacji społecznych, które zawierają treści niezgodne z prawem, czyli np. tzw. mowę nienawiści (w szczególności treści, o których mowa w </w:t>
      </w:r>
      <w:r w:rsidRPr="00BF3555">
        <w:rPr>
          <w:rFonts w:ascii="Times New Roman" w:eastAsia="Times New Roman" w:hAnsi="Times New Roman" w:cs="Times New Roman"/>
          <w:bCs/>
          <w:sz w:val="24"/>
        </w:rPr>
        <w:t>przepisach ustawy z dnia 6 czerwca 1997 r. – Kodeks karny, Dz. U. z 2024 r. poz. 17, w tym w art. 255-257).</w:t>
      </w:r>
      <w:r w:rsidRPr="00B1381C">
        <w:rPr>
          <w:rFonts w:ascii="Times New Roman" w:eastAsia="Times New Roman" w:hAnsi="Times New Roman" w:cs="Times New Roman"/>
          <w:bCs/>
          <w:sz w:val="24"/>
        </w:rPr>
        <w:t xml:space="preserve"> </w:t>
      </w:r>
    </w:p>
    <w:p w14:paraId="6007F5A0" w14:textId="77777777" w:rsidR="003806D9" w:rsidRPr="00B1381C" w:rsidRDefault="003806D9" w:rsidP="003806D9">
      <w:pPr>
        <w:suppressAutoHyphens/>
        <w:spacing w:after="120" w:line="360" w:lineRule="auto"/>
        <w:rPr>
          <w:rFonts w:ascii="Times New Roman" w:eastAsia="Times New Roman" w:hAnsi="Times New Roman" w:cs="Times New Roman"/>
          <w:bCs/>
          <w:sz w:val="24"/>
        </w:rPr>
      </w:pPr>
      <w:r w:rsidRPr="00B1381C">
        <w:rPr>
          <w:rFonts w:ascii="Times New Roman" w:eastAsia="Times New Roman" w:hAnsi="Times New Roman" w:cs="Times New Roman"/>
          <w:bCs/>
          <w:sz w:val="24"/>
        </w:rPr>
        <w:tab/>
        <w:t xml:space="preserve">Określony w projektowanym art. 9d zakres danych osobowych przetwarzanych przez Kancelarię Sejmu (administratora w rozumieniu przepisów RODO) jest szerszy niż danych udostępnianych, gdyż poza danymi wymienionymi wyżej obejmuje </w:t>
      </w:r>
      <w:r w:rsidRPr="00B1381C">
        <w:rPr>
          <w:rFonts w:ascii="Times New Roman" w:eastAsia="Times New Roman" w:hAnsi="Times New Roman" w:cs="Times New Roman"/>
          <w:bCs/>
          <w:sz w:val="24"/>
        </w:rPr>
        <w:lastRenderedPageBreak/>
        <w:t>również numer PESEL osoby zgłaszającej uwagi. Wprowadzenie tego rozwiązania umożliwi Kancelarii Sejmu tworzenie opracowań statystycznych na podstawie rezultatów konsultacji społecznych.</w:t>
      </w:r>
    </w:p>
    <w:p w14:paraId="2C66D51E" w14:textId="77777777" w:rsidR="003806D9" w:rsidRPr="00B1381C" w:rsidRDefault="003806D9" w:rsidP="003806D9">
      <w:pPr>
        <w:suppressAutoHyphens/>
        <w:spacing w:after="120" w:line="360" w:lineRule="auto"/>
        <w:ind w:firstLine="708"/>
        <w:rPr>
          <w:rFonts w:ascii="Times New Roman" w:eastAsia="Times New Roman" w:hAnsi="Times New Roman" w:cs="Times New Roman"/>
          <w:bCs/>
          <w:sz w:val="24"/>
        </w:rPr>
      </w:pPr>
      <w:r>
        <w:rPr>
          <w:rFonts w:ascii="Times New Roman" w:eastAsia="Times New Roman" w:hAnsi="Times New Roman" w:cs="Times New Roman"/>
          <w:bCs/>
          <w:sz w:val="24"/>
        </w:rPr>
        <w:t>W art. 2 projektu p</w:t>
      </w:r>
      <w:r w:rsidRPr="00B1381C">
        <w:rPr>
          <w:rFonts w:ascii="Times New Roman" w:eastAsia="Times New Roman" w:hAnsi="Times New Roman" w:cs="Times New Roman"/>
          <w:bCs/>
          <w:sz w:val="24"/>
        </w:rPr>
        <w:t>roponuje się</w:t>
      </w:r>
      <w:r>
        <w:rPr>
          <w:rFonts w:ascii="Times New Roman" w:eastAsia="Times New Roman" w:hAnsi="Times New Roman" w:cs="Times New Roman"/>
          <w:bCs/>
          <w:sz w:val="24"/>
        </w:rPr>
        <w:t>, aby ustawa</w:t>
      </w:r>
      <w:r w:rsidRPr="00B1381C">
        <w:rPr>
          <w:rFonts w:ascii="Times New Roman" w:eastAsia="Times New Roman" w:hAnsi="Times New Roman" w:cs="Times New Roman"/>
          <w:bCs/>
          <w:sz w:val="24"/>
        </w:rPr>
        <w:t xml:space="preserve"> we</w:t>
      </w:r>
      <w:r>
        <w:rPr>
          <w:rFonts w:ascii="Times New Roman" w:eastAsia="Times New Roman" w:hAnsi="Times New Roman" w:cs="Times New Roman"/>
          <w:bCs/>
          <w:sz w:val="24"/>
        </w:rPr>
        <w:t xml:space="preserve">szła </w:t>
      </w:r>
      <w:r w:rsidRPr="00B1381C">
        <w:rPr>
          <w:rFonts w:ascii="Times New Roman" w:eastAsia="Times New Roman" w:hAnsi="Times New Roman" w:cs="Times New Roman"/>
          <w:bCs/>
          <w:sz w:val="24"/>
        </w:rPr>
        <w:t xml:space="preserve">w życie po standardowym </w:t>
      </w:r>
      <w:r w:rsidRPr="00B1381C">
        <w:rPr>
          <w:rFonts w:ascii="Times New Roman" w:eastAsia="Times New Roman" w:hAnsi="Times New Roman" w:cs="Times New Roman"/>
          <w:bCs/>
          <w:i/>
          <w:iCs/>
          <w:sz w:val="24"/>
        </w:rPr>
        <w:t>vacatio legis</w:t>
      </w:r>
      <w:r w:rsidRPr="00B1381C">
        <w:rPr>
          <w:rFonts w:ascii="Times New Roman" w:eastAsia="Times New Roman" w:hAnsi="Times New Roman" w:cs="Times New Roman"/>
          <w:bCs/>
          <w:sz w:val="24"/>
        </w:rPr>
        <w:t xml:space="preserve">, tj. po upływie 14 dni od dnia ogłoszenia. </w:t>
      </w:r>
    </w:p>
    <w:p w14:paraId="000A9926" w14:textId="77777777" w:rsidR="003806D9" w:rsidRPr="00B1381C" w:rsidRDefault="003806D9" w:rsidP="003806D9">
      <w:pPr>
        <w:suppressAutoHyphens/>
        <w:spacing w:after="120" w:line="360" w:lineRule="auto"/>
        <w:rPr>
          <w:rFonts w:ascii="Times New Roman" w:eastAsia="Calibri" w:hAnsi="Times New Roman" w:cs="Times New Roman"/>
          <w:sz w:val="24"/>
          <w:szCs w:val="24"/>
        </w:rPr>
      </w:pPr>
    </w:p>
    <w:p w14:paraId="31A1F197" w14:textId="77777777" w:rsidR="003806D9" w:rsidRPr="00B1381C" w:rsidRDefault="003806D9" w:rsidP="003806D9">
      <w:pPr>
        <w:suppressAutoHyphens/>
        <w:spacing w:after="120" w:line="360" w:lineRule="auto"/>
        <w:ind w:left="510" w:hanging="510"/>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B1381C">
        <w:rPr>
          <w:rFonts w:ascii="Times New Roman" w:eastAsia="Calibri" w:hAnsi="Times New Roman" w:cs="Times New Roman"/>
          <w:b/>
          <w:sz w:val="24"/>
          <w:szCs w:val="24"/>
        </w:rPr>
        <w:t xml:space="preserve">. </w:t>
      </w:r>
      <w:r w:rsidRPr="00B1381C">
        <w:rPr>
          <w:rFonts w:ascii="Times New Roman" w:eastAsia="Calibri" w:hAnsi="Times New Roman" w:cs="Times New Roman"/>
          <w:b/>
          <w:sz w:val="24"/>
          <w:szCs w:val="24"/>
        </w:rPr>
        <w:tab/>
        <w:t>Założenia podstawowych aktów wykonawczych</w:t>
      </w:r>
    </w:p>
    <w:p w14:paraId="2CBDFCD5" w14:textId="77777777" w:rsidR="003806D9" w:rsidRPr="00B1381C" w:rsidRDefault="003806D9" w:rsidP="003806D9">
      <w:pPr>
        <w:suppressAutoHyphens/>
        <w:spacing w:after="120" w:line="360" w:lineRule="auto"/>
        <w:ind w:firstLine="708"/>
        <w:rPr>
          <w:rFonts w:ascii="Times New Roman" w:eastAsia="Times New Roman" w:hAnsi="Times New Roman" w:cs="Times New Roman"/>
          <w:bCs/>
          <w:sz w:val="24"/>
        </w:rPr>
      </w:pPr>
      <w:r w:rsidRPr="00B1381C">
        <w:rPr>
          <w:rFonts w:ascii="Times New Roman" w:eastAsia="Times New Roman" w:hAnsi="Times New Roman" w:cs="Times New Roman"/>
          <w:bCs/>
          <w:sz w:val="24"/>
        </w:rPr>
        <w:t>Projektowana ustawa nie wymaga zmiany aktów wykonawczych.</w:t>
      </w:r>
    </w:p>
    <w:p w14:paraId="0F9949BA" w14:textId="77777777" w:rsidR="003806D9" w:rsidRPr="00B1381C" w:rsidRDefault="003806D9" w:rsidP="003806D9">
      <w:pPr>
        <w:suppressAutoHyphens/>
        <w:spacing w:after="120" w:line="360" w:lineRule="auto"/>
        <w:ind w:firstLine="708"/>
        <w:rPr>
          <w:rFonts w:ascii="Times New Roman" w:eastAsia="Calibri" w:hAnsi="Times New Roman" w:cs="Times New Roman"/>
          <w:sz w:val="24"/>
          <w:szCs w:val="24"/>
        </w:rPr>
      </w:pPr>
    </w:p>
    <w:p w14:paraId="06AE2FF4" w14:textId="77777777" w:rsidR="003806D9" w:rsidRPr="00B1381C" w:rsidRDefault="003806D9" w:rsidP="003806D9">
      <w:pPr>
        <w:suppressAutoHyphens/>
        <w:spacing w:after="120" w:line="360" w:lineRule="auto"/>
        <w:ind w:left="510" w:hanging="5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B1381C">
        <w:rPr>
          <w:rFonts w:ascii="Times New Roman" w:eastAsia="Times New Roman" w:hAnsi="Times New Roman" w:cs="Times New Roman"/>
          <w:b/>
          <w:bCs/>
          <w:sz w:val="24"/>
          <w:szCs w:val="24"/>
        </w:rPr>
        <w:t>.</w:t>
      </w:r>
      <w:r w:rsidRPr="00B1381C">
        <w:rPr>
          <w:rFonts w:ascii="Times New Roman" w:eastAsia="Times New Roman" w:hAnsi="Times New Roman" w:cs="Times New Roman"/>
          <w:b/>
          <w:bCs/>
          <w:sz w:val="24"/>
          <w:szCs w:val="24"/>
        </w:rPr>
        <w:tab/>
        <w:t>Oświadczenie o zgodności projektu ustawy z prawem Unii Europejskiej</w:t>
      </w:r>
    </w:p>
    <w:p w14:paraId="63724CC6" w14:textId="77777777" w:rsidR="003806D9" w:rsidRPr="00806FC3" w:rsidRDefault="003806D9" w:rsidP="003806D9">
      <w:pPr>
        <w:suppressAutoHyphens/>
        <w:spacing w:after="120" w:line="360" w:lineRule="auto"/>
        <w:ind w:firstLine="708"/>
        <w:rPr>
          <w:rFonts w:ascii="Times New Roman" w:eastAsia="Times New Roman" w:hAnsi="Times New Roman" w:cs="Times New Roman"/>
          <w:bCs/>
          <w:sz w:val="24"/>
          <w:szCs w:val="24"/>
        </w:rPr>
      </w:pPr>
      <w:r w:rsidRPr="00B1381C">
        <w:rPr>
          <w:rFonts w:ascii="Times New Roman" w:eastAsia="Times New Roman" w:hAnsi="Times New Roman" w:cs="Times New Roman"/>
          <w:bCs/>
          <w:sz w:val="24"/>
          <w:szCs w:val="24"/>
        </w:rPr>
        <w:t>Przedmiot projektowanej regulacji jest zgodny z prawem Unii Europejskiej.</w:t>
      </w:r>
    </w:p>
    <w:p w14:paraId="32F83D6B" w14:textId="77777777" w:rsidR="003806D9" w:rsidRPr="00806FC3" w:rsidRDefault="003806D9" w:rsidP="003806D9">
      <w:pPr>
        <w:rPr>
          <w:rFonts w:ascii="Times New Roman" w:hAnsi="Times New Roman" w:cs="Times New Roman"/>
        </w:rPr>
      </w:pPr>
    </w:p>
    <w:p w14:paraId="779E56D7" w14:textId="77777777" w:rsidR="003806D9" w:rsidRDefault="003806D9" w:rsidP="005315BE">
      <w:pPr>
        <w:rPr>
          <w:rStyle w:val="Ppogrubienie"/>
          <w:b w:val="0"/>
        </w:rPr>
        <w:sectPr w:rsidR="003806D9" w:rsidSect="003806D9">
          <w:footnotePr>
            <w:numRestart w:val="eachSect"/>
          </w:footnotePr>
          <w:pgSz w:w="11906" w:h="16838"/>
          <w:pgMar w:top="1559" w:right="2268" w:bottom="1559" w:left="1418" w:header="709" w:footer="709" w:gutter="0"/>
          <w:pgNumType w:start="1"/>
          <w:cols w:space="708"/>
          <w:titlePg/>
          <w:docGrid w:linePitch="326"/>
        </w:sectPr>
      </w:pPr>
    </w:p>
    <w:p w14:paraId="4E105FF0" w14:textId="77777777" w:rsidR="003806D9" w:rsidRDefault="003806D9" w:rsidP="003806D9">
      <w:pPr>
        <w:spacing w:line="240" w:lineRule="auto"/>
        <w:rPr>
          <w:rFonts w:ascii="Arial" w:hAnsi="Arial"/>
          <w:b/>
          <w:bCs/>
          <w:sz w:val="24"/>
        </w:rPr>
      </w:pPr>
    </w:p>
    <w:p w14:paraId="653D6482" w14:textId="77777777" w:rsidR="003806D9" w:rsidRDefault="003806D9" w:rsidP="003806D9">
      <w:pPr>
        <w:spacing w:line="240" w:lineRule="auto"/>
        <w:rPr>
          <w:rFonts w:ascii="Arial" w:hAnsi="Arial"/>
          <w:b/>
          <w:bCs/>
          <w:sz w:val="24"/>
        </w:rPr>
      </w:pPr>
    </w:p>
    <w:p w14:paraId="7F45C5C2" w14:textId="77777777" w:rsidR="003806D9" w:rsidRDefault="003806D9" w:rsidP="003806D9">
      <w:pPr>
        <w:spacing w:line="240" w:lineRule="auto"/>
        <w:jc w:val="center"/>
        <w:rPr>
          <w:rFonts w:ascii="Arial" w:hAnsi="Arial"/>
          <w:b/>
          <w:bCs/>
          <w:sz w:val="24"/>
        </w:rPr>
      </w:pPr>
      <w:r>
        <w:rPr>
          <w:rFonts w:ascii="Arial" w:hAnsi="Arial"/>
          <w:b/>
          <w:bCs/>
          <w:sz w:val="24"/>
        </w:rPr>
        <w:t>DEKLAROWANE SKUTKI REGULACJI (DSR)</w:t>
      </w:r>
    </w:p>
    <w:p w14:paraId="32C0B151" w14:textId="77777777" w:rsidR="003806D9" w:rsidRDefault="003806D9" w:rsidP="003806D9">
      <w:pPr>
        <w:spacing w:line="240" w:lineRule="auto"/>
        <w:jc w:val="center"/>
        <w:rPr>
          <w:rFonts w:ascii="Arial" w:hAnsi="Arial"/>
          <w:b/>
          <w:bCs/>
          <w:sz w:val="24"/>
        </w:rPr>
      </w:pPr>
      <w:r>
        <w:rPr>
          <w:rFonts w:ascii="Arial" w:hAnsi="Arial"/>
          <w:b/>
          <w:bCs/>
          <w:sz w:val="24"/>
        </w:rPr>
        <w:t>projektu ustawy</w:t>
      </w:r>
    </w:p>
    <w:p w14:paraId="255F446C" w14:textId="77777777" w:rsidR="003806D9" w:rsidRDefault="003806D9" w:rsidP="003806D9">
      <w:pPr>
        <w:spacing w:line="240" w:lineRule="auto"/>
        <w:jc w:val="center"/>
        <w:rPr>
          <w:rFonts w:ascii="Arial" w:hAnsi="Arial"/>
          <w:b/>
          <w:bCs/>
          <w:sz w:val="24"/>
        </w:rPr>
      </w:pPr>
    </w:p>
    <w:p w14:paraId="52D0AE76" w14:textId="77777777" w:rsidR="003806D9" w:rsidRDefault="003806D9" w:rsidP="003806D9">
      <w:pPr>
        <w:spacing w:line="240" w:lineRule="auto"/>
        <w:jc w:val="center"/>
        <w:rPr>
          <w:rFonts w:ascii="Arial" w:hAnsi="Arial"/>
          <w:b/>
          <w:bCs/>
          <w:sz w:val="24"/>
        </w:rPr>
      </w:pPr>
    </w:p>
    <w:p w14:paraId="2AC1CCCB" w14:textId="77777777" w:rsidR="003806D9" w:rsidRDefault="003806D9" w:rsidP="003806D9">
      <w:pPr>
        <w:tabs>
          <w:tab w:val="left" w:pos="2834"/>
        </w:tabs>
        <w:spacing w:line="240" w:lineRule="auto"/>
        <w:rPr>
          <w:rFonts w:ascii="Arial" w:hAnsi="Arial"/>
          <w:b/>
          <w:bCs/>
          <w:sz w:val="24"/>
        </w:rPr>
      </w:pPr>
      <w:r>
        <w:rPr>
          <w:rFonts w:ascii="Arial" w:hAnsi="Arial"/>
          <w:b/>
          <w:bCs/>
          <w:sz w:val="24"/>
        </w:rPr>
        <w:tab/>
      </w:r>
    </w:p>
    <w:p w14:paraId="67DA5F1C" w14:textId="77777777" w:rsidR="003806D9" w:rsidRDefault="003806D9" w:rsidP="003806D9">
      <w:pPr>
        <w:tabs>
          <w:tab w:val="left" w:pos="6290"/>
        </w:tabs>
        <w:rPr>
          <w:rFonts w:ascii="Arial" w:hAnsi="Arial"/>
          <w:b/>
          <w:bCs/>
          <w:sz w:val="24"/>
        </w:rPr>
      </w:pPr>
      <w:r>
        <w:rPr>
          <w:rFonts w:ascii="Arial" w:hAnsi="Arial"/>
          <w:b/>
          <w:bCs/>
          <w:sz w:val="24"/>
        </w:rPr>
        <w:t>Informacja o projekcie</w:t>
      </w:r>
    </w:p>
    <w:p w14:paraId="3F7FAD6F" w14:textId="77777777" w:rsidR="003806D9" w:rsidRPr="0017371E" w:rsidRDefault="003806D9" w:rsidP="003806D9">
      <w:pPr>
        <w:tabs>
          <w:tab w:val="left" w:pos="6290"/>
        </w:tabs>
        <w:rPr>
          <w:rFonts w:ascii="Arial" w:hAnsi="Arial"/>
          <w:b/>
          <w:bCs/>
          <w:sz w:val="24"/>
        </w:rPr>
      </w:pPr>
      <w:r>
        <w:rPr>
          <w:rFonts w:ascii="Arial" w:hAnsi="Arial"/>
          <w:b/>
          <w:bCs/>
          <w:sz w:val="24"/>
        </w:rPr>
        <w:tab/>
      </w:r>
    </w:p>
    <w:p w14:paraId="202D4342" w14:textId="77777777" w:rsidR="003806D9" w:rsidRPr="0017371E" w:rsidRDefault="003806D9" w:rsidP="003806D9">
      <w:pPr>
        <w:ind w:left="360"/>
        <w:rPr>
          <w:rFonts w:ascii="Arial" w:hAnsi="Arial"/>
          <w:sz w:val="24"/>
          <w:szCs w:val="24"/>
        </w:rPr>
      </w:pPr>
      <w:r w:rsidRPr="0017371E">
        <w:rPr>
          <w:rFonts w:ascii="Arial" w:hAnsi="Arial"/>
          <w:sz w:val="24"/>
          <w:szCs w:val="24"/>
        </w:rPr>
        <w:t>a) Tytuł projektu</w:t>
      </w:r>
      <w:r>
        <w:rPr>
          <w:rFonts w:ascii="Arial" w:hAnsi="Arial"/>
          <w:sz w:val="24"/>
          <w:szCs w:val="24"/>
        </w:rPr>
        <w:t>:</w:t>
      </w:r>
    </w:p>
    <w:tbl>
      <w:tblPr>
        <w:tblStyle w:val="Tabela-Siatka"/>
        <w:tblW w:w="9182" w:type="dxa"/>
        <w:tblLook w:val="04A0" w:firstRow="1" w:lastRow="0" w:firstColumn="1" w:lastColumn="0" w:noHBand="0" w:noVBand="1"/>
      </w:tblPr>
      <w:tblGrid>
        <w:gridCol w:w="9182"/>
      </w:tblGrid>
      <w:tr w:rsidR="003806D9" w14:paraId="1CB1AAE0" w14:textId="77777777" w:rsidTr="00044044">
        <w:trPr>
          <w:trHeight w:val="410"/>
        </w:trPr>
        <w:tc>
          <w:tcPr>
            <w:tcW w:w="9182" w:type="dxa"/>
          </w:tcPr>
          <w:p w14:paraId="0379FCD8" w14:textId="77777777" w:rsidR="003806D9" w:rsidRDefault="003806D9" w:rsidP="00044044">
            <w:pPr>
              <w:ind w:left="360"/>
              <w:rPr>
                <w:rFonts w:ascii="Arial" w:hAnsi="Arial"/>
              </w:rPr>
            </w:pPr>
            <w:bookmarkStart w:id="0" w:name="_Hlk174516121"/>
          </w:p>
          <w:p w14:paraId="79E590FB" w14:textId="77777777" w:rsidR="003806D9" w:rsidRDefault="003806D9" w:rsidP="00044044">
            <w:pPr>
              <w:rPr>
                <w:rFonts w:ascii="Arial" w:hAnsi="Arial"/>
                <w:color w:val="808080" w:themeColor="background1" w:themeShade="80"/>
              </w:rPr>
            </w:pPr>
            <w:r>
              <w:rPr>
                <w:rFonts w:ascii="Arial" w:hAnsi="Arial"/>
                <w:color w:val="808080" w:themeColor="background1" w:themeShade="80"/>
              </w:rPr>
              <w:t xml:space="preserve">Komisyjny projekt ustawy </w:t>
            </w:r>
            <w:r w:rsidRPr="00EC1BF2">
              <w:rPr>
                <w:rFonts w:ascii="Arial" w:hAnsi="Arial"/>
                <w:color w:val="808080" w:themeColor="background1" w:themeShade="80"/>
              </w:rPr>
              <w:t>o zmianie ustawy o działalności lobbingowej w procesie stanowienia prawa</w:t>
            </w:r>
          </w:p>
          <w:p w14:paraId="76F7D4F5" w14:textId="77777777" w:rsidR="003806D9" w:rsidRPr="002C6016" w:rsidRDefault="003806D9" w:rsidP="00044044">
            <w:pPr>
              <w:rPr>
                <w:rFonts w:ascii="Arial" w:eastAsia="Times New Roman" w:hAnsi="Arial"/>
                <w:color w:val="808080" w:themeColor="background1" w:themeShade="80"/>
              </w:rPr>
            </w:pPr>
          </w:p>
        </w:tc>
      </w:tr>
      <w:bookmarkEnd w:id="0"/>
    </w:tbl>
    <w:p w14:paraId="66F50E31" w14:textId="77777777" w:rsidR="003806D9" w:rsidRDefault="003806D9" w:rsidP="003806D9">
      <w:pPr>
        <w:rPr>
          <w:rFonts w:ascii="Arial" w:hAnsi="Arial"/>
          <w:b/>
          <w:bCs/>
          <w:sz w:val="24"/>
        </w:rPr>
      </w:pPr>
    </w:p>
    <w:p w14:paraId="622E5E31" w14:textId="77777777" w:rsidR="003806D9" w:rsidRPr="0017371E" w:rsidRDefault="003806D9" w:rsidP="003806D9">
      <w:pPr>
        <w:ind w:left="360"/>
        <w:rPr>
          <w:rFonts w:ascii="Arial" w:eastAsia="Times New Roman" w:hAnsi="Arial"/>
          <w:sz w:val="24"/>
          <w:szCs w:val="24"/>
        </w:rPr>
      </w:pPr>
      <w:r w:rsidRPr="0017371E">
        <w:rPr>
          <w:rFonts w:ascii="Arial" w:eastAsia="Times New Roman" w:hAnsi="Arial"/>
          <w:sz w:val="24"/>
          <w:szCs w:val="24"/>
        </w:rPr>
        <w:t>b) Przedstawiciel wnioskodawcy</w:t>
      </w:r>
      <w:r>
        <w:rPr>
          <w:rFonts w:ascii="Arial" w:eastAsia="Times New Roman" w:hAnsi="Arial"/>
          <w:sz w:val="24"/>
          <w:szCs w:val="24"/>
        </w:rPr>
        <w:t>:</w:t>
      </w:r>
    </w:p>
    <w:tbl>
      <w:tblPr>
        <w:tblStyle w:val="Tabela-Siatka"/>
        <w:tblW w:w="9209" w:type="dxa"/>
        <w:tblLook w:val="04A0" w:firstRow="1" w:lastRow="0" w:firstColumn="1" w:lastColumn="0" w:noHBand="0" w:noVBand="1"/>
      </w:tblPr>
      <w:tblGrid>
        <w:gridCol w:w="9209"/>
      </w:tblGrid>
      <w:tr w:rsidR="003806D9" w14:paraId="05F30ED7" w14:textId="77777777" w:rsidTr="001C4E95">
        <w:trPr>
          <w:trHeight w:val="765"/>
        </w:trPr>
        <w:tc>
          <w:tcPr>
            <w:tcW w:w="9209" w:type="dxa"/>
            <w:vAlign w:val="center"/>
          </w:tcPr>
          <w:p w14:paraId="673561BA" w14:textId="2303C110" w:rsidR="003806D9" w:rsidRPr="002C6016" w:rsidRDefault="001C4E95" w:rsidP="001C4E95">
            <w:pPr>
              <w:spacing w:line="360" w:lineRule="auto"/>
              <w:rPr>
                <w:rFonts w:ascii="Arial" w:eastAsia="Times New Roman" w:hAnsi="Arial"/>
                <w:color w:val="808080" w:themeColor="background1" w:themeShade="80"/>
              </w:rPr>
            </w:pPr>
            <w:r>
              <w:rPr>
                <w:rFonts w:ascii="Arial" w:hAnsi="Arial"/>
                <w:color w:val="808080" w:themeColor="background1" w:themeShade="80"/>
              </w:rPr>
              <w:t>p</w:t>
            </w:r>
            <w:r w:rsidR="003806D9" w:rsidRPr="003806D9">
              <w:rPr>
                <w:rFonts w:ascii="Arial" w:hAnsi="Arial"/>
                <w:color w:val="808080" w:themeColor="background1" w:themeShade="80"/>
              </w:rPr>
              <w:t>oseł Jarosław Urbaniak</w:t>
            </w:r>
          </w:p>
        </w:tc>
      </w:tr>
    </w:tbl>
    <w:p w14:paraId="348562AC" w14:textId="77777777" w:rsidR="003806D9" w:rsidRPr="009C37AF" w:rsidRDefault="003806D9" w:rsidP="003806D9">
      <w:pPr>
        <w:rPr>
          <w:rFonts w:ascii="Arial" w:hAnsi="Arial"/>
          <w:b/>
          <w:bCs/>
          <w:sz w:val="24"/>
        </w:rPr>
      </w:pPr>
    </w:p>
    <w:p w14:paraId="7C2735C0" w14:textId="77777777" w:rsidR="003806D9" w:rsidRDefault="003806D9" w:rsidP="003806D9">
      <w:pPr>
        <w:rPr>
          <w:rFonts w:ascii="Arial" w:hAnsi="Arial"/>
          <w:b/>
          <w:sz w:val="24"/>
        </w:rPr>
      </w:pPr>
      <w:r w:rsidRPr="009C37AF">
        <w:rPr>
          <w:rFonts w:ascii="Arial" w:hAnsi="Arial"/>
          <w:b/>
          <w:sz w:val="24"/>
        </w:rPr>
        <w:t xml:space="preserve">I. </w:t>
      </w:r>
      <w:r>
        <w:rPr>
          <w:rFonts w:ascii="Arial" w:hAnsi="Arial"/>
          <w:b/>
          <w:sz w:val="24"/>
        </w:rPr>
        <w:t>Część wstępna</w:t>
      </w:r>
    </w:p>
    <w:p w14:paraId="0745FBB8" w14:textId="77777777" w:rsidR="003806D9" w:rsidRDefault="003806D9" w:rsidP="003806D9">
      <w:pPr>
        <w:rPr>
          <w:rFonts w:ascii="Arial" w:hAnsi="Arial"/>
          <w:sz w:val="24"/>
        </w:rPr>
      </w:pPr>
    </w:p>
    <w:p w14:paraId="22D663CA" w14:textId="77777777" w:rsidR="003806D9" w:rsidRDefault="003806D9" w:rsidP="003806D9">
      <w:pPr>
        <w:rPr>
          <w:rFonts w:ascii="Arial" w:hAnsi="Arial"/>
          <w:sz w:val="24"/>
        </w:rPr>
      </w:pPr>
      <w:r w:rsidRPr="009C37AF">
        <w:rPr>
          <w:rFonts w:ascii="Arial" w:hAnsi="Arial"/>
          <w:sz w:val="24"/>
        </w:rPr>
        <w:t xml:space="preserve">[1] </w:t>
      </w:r>
      <w:r>
        <w:rPr>
          <w:rFonts w:ascii="Arial" w:hAnsi="Arial"/>
          <w:sz w:val="24"/>
        </w:rPr>
        <w:t>Zwięzły o</w:t>
      </w:r>
      <w:r w:rsidRPr="009C37AF">
        <w:rPr>
          <w:rFonts w:ascii="Arial" w:hAnsi="Arial"/>
          <w:sz w:val="24"/>
        </w:rPr>
        <w:t xml:space="preserve">pis </w:t>
      </w:r>
      <w:r>
        <w:rPr>
          <w:rFonts w:ascii="Arial" w:hAnsi="Arial"/>
          <w:sz w:val="24"/>
        </w:rPr>
        <w:t xml:space="preserve">zidentyfikowanego problemu i </w:t>
      </w:r>
      <w:r w:rsidRPr="009C37AF">
        <w:rPr>
          <w:rFonts w:ascii="Arial" w:hAnsi="Arial"/>
          <w:sz w:val="24"/>
        </w:rPr>
        <w:t>proponowanych rozwiązań</w:t>
      </w:r>
      <w:r>
        <w:rPr>
          <w:rFonts w:ascii="Arial" w:hAnsi="Arial"/>
          <w:sz w:val="24"/>
        </w:rPr>
        <w:t>.</w:t>
      </w:r>
    </w:p>
    <w:p w14:paraId="15BEFABA" w14:textId="77777777" w:rsidR="003806D9" w:rsidRDefault="003806D9" w:rsidP="003806D9">
      <w:pPr>
        <w:rPr>
          <w:rFonts w:ascii="Arial" w:hAnsi="Arial"/>
          <w:sz w:val="24"/>
        </w:rPr>
      </w:pPr>
    </w:p>
    <w:tbl>
      <w:tblPr>
        <w:tblStyle w:val="Tabela-Siatka"/>
        <w:tblW w:w="0" w:type="auto"/>
        <w:tblLook w:val="04A0" w:firstRow="1" w:lastRow="0" w:firstColumn="1" w:lastColumn="0" w:noHBand="0" w:noVBand="1"/>
      </w:tblPr>
      <w:tblGrid>
        <w:gridCol w:w="9060"/>
      </w:tblGrid>
      <w:tr w:rsidR="003806D9" w14:paraId="7E49468D" w14:textId="77777777" w:rsidTr="00044044">
        <w:tc>
          <w:tcPr>
            <w:tcW w:w="9062" w:type="dxa"/>
          </w:tcPr>
          <w:p w14:paraId="5AA569D7"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Wskazanie rozwiązywanego problemu</w:t>
            </w:r>
          </w:p>
          <w:p w14:paraId="16DA46C2" w14:textId="77777777" w:rsidR="003806D9" w:rsidRDefault="003806D9" w:rsidP="00044044">
            <w:pPr>
              <w:rPr>
                <w:rFonts w:ascii="Arial" w:eastAsia="Times New Roman" w:hAnsi="Arial"/>
                <w:color w:val="808080" w:themeColor="background1" w:themeShade="80"/>
              </w:rPr>
            </w:pPr>
          </w:p>
          <w:p w14:paraId="4ED9384C" w14:textId="40741B7F" w:rsidR="003806D9" w:rsidRDefault="003806D9" w:rsidP="00044044">
            <w:pPr>
              <w:rPr>
                <w:rFonts w:ascii="Arial" w:eastAsia="Times New Roman" w:hAnsi="Arial"/>
                <w:color w:val="808080" w:themeColor="background1" w:themeShade="80"/>
              </w:rPr>
            </w:pPr>
            <w:r w:rsidRPr="00EC1BF2">
              <w:rPr>
                <w:rFonts w:ascii="Arial" w:eastAsia="Times New Roman" w:hAnsi="Arial"/>
                <w:color w:val="808080" w:themeColor="background1" w:themeShade="80"/>
              </w:rPr>
              <w:t xml:space="preserve">Wprowadzenie </w:t>
            </w:r>
            <w:r>
              <w:rPr>
                <w:rFonts w:ascii="Arial" w:eastAsia="Times New Roman" w:hAnsi="Arial"/>
                <w:color w:val="808080" w:themeColor="background1" w:themeShade="80"/>
              </w:rPr>
              <w:t xml:space="preserve">proponowanych rozwiązań jest związane z potrzebą </w:t>
            </w:r>
            <w:r w:rsidRPr="00EC1BF2">
              <w:rPr>
                <w:rFonts w:ascii="Arial" w:eastAsia="Times New Roman" w:hAnsi="Arial"/>
                <w:color w:val="808080" w:themeColor="background1" w:themeShade="80"/>
              </w:rPr>
              <w:t>implementacj</w:t>
            </w:r>
            <w:r>
              <w:rPr>
                <w:rFonts w:ascii="Arial" w:eastAsia="Times New Roman" w:hAnsi="Arial"/>
                <w:color w:val="808080" w:themeColor="background1" w:themeShade="80"/>
              </w:rPr>
              <w:t>i</w:t>
            </w:r>
            <w:r w:rsidRPr="00EC1BF2">
              <w:rPr>
                <w:rFonts w:ascii="Arial" w:eastAsia="Times New Roman" w:hAnsi="Arial"/>
                <w:color w:val="808080" w:themeColor="background1" w:themeShade="80"/>
              </w:rPr>
              <w:t xml:space="preserve"> kamieni</w:t>
            </w:r>
            <w:r>
              <w:rPr>
                <w:rFonts w:ascii="Arial" w:eastAsia="Times New Roman" w:hAnsi="Arial"/>
                <w:color w:val="808080" w:themeColor="background1" w:themeShade="80"/>
              </w:rPr>
              <w:t>a</w:t>
            </w:r>
            <w:r w:rsidRPr="00EC1BF2">
              <w:rPr>
                <w:rFonts w:ascii="Arial" w:eastAsia="Times New Roman" w:hAnsi="Arial"/>
                <w:color w:val="808080" w:themeColor="background1" w:themeShade="80"/>
              </w:rPr>
              <w:t xml:space="preserve"> milow</w:t>
            </w:r>
            <w:r>
              <w:rPr>
                <w:rFonts w:ascii="Arial" w:eastAsia="Times New Roman" w:hAnsi="Arial"/>
                <w:color w:val="808080" w:themeColor="background1" w:themeShade="80"/>
              </w:rPr>
              <w:t xml:space="preserve">ego oznaczonego w Krajowym Planie Odbudowy </w:t>
            </w:r>
            <w:r w:rsidRPr="00EC1BF2">
              <w:rPr>
                <w:rFonts w:ascii="Arial" w:eastAsia="Times New Roman" w:hAnsi="Arial"/>
                <w:color w:val="808080" w:themeColor="background1" w:themeShade="80"/>
              </w:rPr>
              <w:t xml:space="preserve">i Zwiększania Odporności </w:t>
            </w:r>
            <w:r>
              <w:rPr>
                <w:rFonts w:ascii="Arial" w:eastAsia="Times New Roman" w:hAnsi="Arial"/>
                <w:color w:val="808080" w:themeColor="background1" w:themeShade="80"/>
              </w:rPr>
              <w:t xml:space="preserve">(KPO) jako </w:t>
            </w:r>
            <w:r w:rsidRPr="00EC1BF2">
              <w:rPr>
                <w:rFonts w:ascii="Arial" w:eastAsia="Times New Roman" w:hAnsi="Arial"/>
                <w:color w:val="808080" w:themeColor="background1" w:themeShade="80"/>
              </w:rPr>
              <w:t>F2.1</w:t>
            </w:r>
            <w:r>
              <w:rPr>
                <w:rFonts w:ascii="Arial" w:eastAsia="Times New Roman" w:hAnsi="Arial"/>
                <w:color w:val="808080" w:themeColor="background1" w:themeShade="80"/>
              </w:rPr>
              <w:t>, który obejmuje m.in. wymóg wejścia w życie nowelizacji Regulaminu Sejmu wprowadzającej obowiązek przeprowadzania „</w:t>
            </w:r>
            <w:r w:rsidRPr="00EC1BF2">
              <w:rPr>
                <w:rFonts w:ascii="Arial" w:eastAsia="Times New Roman" w:hAnsi="Arial"/>
                <w:color w:val="808080" w:themeColor="background1" w:themeShade="80"/>
              </w:rPr>
              <w:t>konsultacji społecznych w przypadku projektów ustaw zgłaszanych przez posłów, z wyjątkiem uzasadnionych przypadków</w:t>
            </w:r>
            <w:r>
              <w:rPr>
                <w:rFonts w:ascii="Arial" w:eastAsia="Times New Roman" w:hAnsi="Arial"/>
                <w:color w:val="808080" w:themeColor="background1" w:themeShade="80"/>
              </w:rPr>
              <w:t xml:space="preserve">” (na temat KPO zob. szerzej uzasadnienie projektu, pkt 1). Projektowana ustawa zawiera rozwiązania uzupełniające przepisy Regulaminu Sejmu wprowadzone </w:t>
            </w:r>
            <w:r w:rsidRPr="00211444">
              <w:rPr>
                <w:rFonts w:ascii="Arial" w:eastAsia="Times New Roman" w:hAnsi="Arial"/>
                <w:color w:val="808080" w:themeColor="background1" w:themeShade="80"/>
              </w:rPr>
              <w:t>uchwał</w:t>
            </w:r>
            <w:r>
              <w:rPr>
                <w:rFonts w:ascii="Arial" w:eastAsia="Times New Roman" w:hAnsi="Arial"/>
                <w:color w:val="808080" w:themeColor="background1" w:themeShade="80"/>
              </w:rPr>
              <w:t>ą Sejmu Rzeczypospolitej Polskiej</w:t>
            </w:r>
            <w:r w:rsidRPr="00211444">
              <w:rPr>
                <w:rFonts w:ascii="Arial" w:eastAsia="Times New Roman" w:hAnsi="Arial"/>
                <w:color w:val="808080" w:themeColor="background1" w:themeShade="80"/>
              </w:rPr>
              <w:t xml:space="preserve"> z </w:t>
            </w:r>
            <w:r>
              <w:rPr>
                <w:rFonts w:ascii="Arial" w:eastAsia="Times New Roman" w:hAnsi="Arial"/>
                <w:color w:val="808080" w:themeColor="background1" w:themeShade="80"/>
              </w:rPr>
              <w:t xml:space="preserve">dnia </w:t>
            </w:r>
            <w:r w:rsidRPr="00211444">
              <w:rPr>
                <w:rFonts w:ascii="Arial" w:eastAsia="Times New Roman" w:hAnsi="Arial"/>
                <w:color w:val="808080" w:themeColor="background1" w:themeShade="80"/>
              </w:rPr>
              <w:t>26 lipca 2024 r. w sprawie zmiany Regulaminu Sejmu Rzeczypospolitej Polskiej (M.P. poz. 751)</w:t>
            </w:r>
            <w:r>
              <w:rPr>
                <w:rFonts w:ascii="Arial" w:eastAsia="Times New Roman" w:hAnsi="Arial"/>
                <w:color w:val="808080" w:themeColor="background1" w:themeShade="80"/>
              </w:rPr>
              <w:t>.</w:t>
            </w:r>
          </w:p>
          <w:p w14:paraId="1CB9791D" w14:textId="77777777" w:rsidR="003806D9" w:rsidRDefault="003806D9" w:rsidP="00044044">
            <w:pPr>
              <w:rPr>
                <w:rFonts w:ascii="Arial" w:eastAsia="Times New Roman" w:hAnsi="Arial"/>
                <w:color w:val="808080" w:themeColor="background1" w:themeShade="80"/>
              </w:rPr>
            </w:pPr>
          </w:p>
          <w:p w14:paraId="12680B34"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Zwięzły opis proponowanych rozwiązań</w:t>
            </w:r>
          </w:p>
          <w:p w14:paraId="3C82902D" w14:textId="77777777" w:rsidR="003806D9" w:rsidRDefault="003806D9" w:rsidP="00044044">
            <w:pPr>
              <w:rPr>
                <w:rFonts w:ascii="Arial" w:eastAsia="Times New Roman" w:hAnsi="Arial"/>
                <w:color w:val="808080" w:themeColor="background1" w:themeShade="80"/>
              </w:rPr>
            </w:pPr>
          </w:p>
          <w:p w14:paraId="77E1D05B"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W projekcie przewiduje się dodanie do</w:t>
            </w:r>
            <w:r w:rsidRPr="00526C39">
              <w:rPr>
                <w:rFonts w:ascii="Arial" w:eastAsia="Times New Roman" w:hAnsi="Arial"/>
                <w:color w:val="808080" w:themeColor="background1" w:themeShade="80"/>
              </w:rPr>
              <w:t xml:space="preserve"> ustawy z dnia 7 lipca 2005 r. o działalności lobbingowej w procesie stanowienia prawa (Dz. U. z 2017 r. poz. 248)</w:t>
            </w:r>
            <w:r>
              <w:rPr>
                <w:rFonts w:ascii="Arial" w:eastAsia="Times New Roman" w:hAnsi="Arial"/>
                <w:color w:val="808080" w:themeColor="background1" w:themeShade="80"/>
              </w:rPr>
              <w:t xml:space="preserve"> art. 9a-9d, w których kolejno reguluje się następujące kwestie: </w:t>
            </w:r>
          </w:p>
          <w:p w14:paraId="2D03343D" w14:textId="397EB5B0"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 xml:space="preserve">- art. 9a – wykreowanie ustawowego prawa do udziału w konsultacjach społecznych projektów ustaw, </w:t>
            </w:r>
          </w:p>
          <w:p w14:paraId="6EF7C154"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 xml:space="preserve">- art. 9b – określenie formy wykonywania tego prawa (forma elektroniczna), </w:t>
            </w:r>
          </w:p>
          <w:p w14:paraId="31C0A40F"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 xml:space="preserve">- art. 9c – </w:t>
            </w:r>
            <w:r w:rsidRPr="00526C39">
              <w:rPr>
                <w:rFonts w:ascii="Arial" w:eastAsia="Times New Roman" w:hAnsi="Arial"/>
                <w:color w:val="808080" w:themeColor="background1" w:themeShade="80"/>
              </w:rPr>
              <w:t>określ</w:t>
            </w:r>
            <w:r>
              <w:rPr>
                <w:rFonts w:ascii="Arial" w:eastAsia="Times New Roman" w:hAnsi="Arial"/>
                <w:color w:val="808080" w:themeColor="background1" w:themeShade="80"/>
              </w:rPr>
              <w:t>enie</w:t>
            </w:r>
            <w:r w:rsidRPr="00526C39">
              <w:rPr>
                <w:rFonts w:ascii="Arial" w:eastAsia="Times New Roman" w:hAnsi="Arial"/>
                <w:color w:val="808080" w:themeColor="background1" w:themeShade="80"/>
              </w:rPr>
              <w:t xml:space="preserve"> zakres</w:t>
            </w:r>
            <w:r>
              <w:rPr>
                <w:rFonts w:ascii="Arial" w:eastAsia="Times New Roman" w:hAnsi="Arial"/>
                <w:color w:val="808080" w:themeColor="background1" w:themeShade="80"/>
              </w:rPr>
              <w:t>u</w:t>
            </w:r>
            <w:r w:rsidRPr="00526C39">
              <w:rPr>
                <w:rFonts w:ascii="Arial" w:eastAsia="Times New Roman" w:hAnsi="Arial"/>
                <w:color w:val="808080" w:themeColor="background1" w:themeShade="80"/>
              </w:rPr>
              <w:t>, cel</w:t>
            </w:r>
            <w:r>
              <w:rPr>
                <w:rFonts w:ascii="Arial" w:eastAsia="Times New Roman" w:hAnsi="Arial"/>
                <w:color w:val="808080" w:themeColor="background1" w:themeShade="80"/>
              </w:rPr>
              <w:t>ów</w:t>
            </w:r>
            <w:r w:rsidRPr="00526C39">
              <w:rPr>
                <w:rFonts w:ascii="Arial" w:eastAsia="Times New Roman" w:hAnsi="Arial"/>
                <w:color w:val="808080" w:themeColor="background1" w:themeShade="80"/>
              </w:rPr>
              <w:t xml:space="preserve"> oraz czas</w:t>
            </w:r>
            <w:r>
              <w:rPr>
                <w:rFonts w:ascii="Arial" w:eastAsia="Times New Roman" w:hAnsi="Arial"/>
                <w:color w:val="808080" w:themeColor="background1" w:themeShade="80"/>
              </w:rPr>
              <w:t>u</w:t>
            </w:r>
            <w:r w:rsidRPr="00526C39">
              <w:rPr>
                <w:rFonts w:ascii="Arial" w:eastAsia="Times New Roman" w:hAnsi="Arial"/>
                <w:color w:val="808080" w:themeColor="background1" w:themeShade="80"/>
              </w:rPr>
              <w:t xml:space="preserve"> udostępniania przez Kancelarię Sejmu danych osobowych uczestników konsultacji</w:t>
            </w:r>
            <w:r>
              <w:rPr>
                <w:rFonts w:ascii="Arial" w:eastAsia="Times New Roman" w:hAnsi="Arial"/>
                <w:color w:val="808080" w:themeColor="background1" w:themeShade="80"/>
              </w:rPr>
              <w:t>,</w:t>
            </w:r>
          </w:p>
          <w:p w14:paraId="4662A6B2"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 xml:space="preserve">- art. 9d – określenie celu i zakresu przetwarzania </w:t>
            </w:r>
            <w:r w:rsidRPr="00211444">
              <w:rPr>
                <w:rFonts w:ascii="Arial" w:eastAsia="Times New Roman" w:hAnsi="Arial"/>
                <w:color w:val="808080" w:themeColor="background1" w:themeShade="80"/>
              </w:rPr>
              <w:t>przez Kancelarię Sejmu danych osobowych uczestników konsultacji</w:t>
            </w:r>
            <w:r>
              <w:rPr>
                <w:rFonts w:ascii="Arial" w:eastAsia="Times New Roman" w:hAnsi="Arial"/>
                <w:color w:val="808080" w:themeColor="background1" w:themeShade="80"/>
              </w:rPr>
              <w:t>.</w:t>
            </w:r>
          </w:p>
          <w:p w14:paraId="51A1CCEF" w14:textId="77777777" w:rsidR="003806D9" w:rsidRDefault="003806D9" w:rsidP="00044044">
            <w:pPr>
              <w:rPr>
                <w:rFonts w:ascii="Arial" w:eastAsia="Times New Roman" w:hAnsi="Arial"/>
                <w:color w:val="808080" w:themeColor="background1" w:themeShade="80"/>
              </w:rPr>
            </w:pPr>
          </w:p>
          <w:p w14:paraId="473FD799"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Szerzej na temat opisu projektowanych rozwiązań zob. uzasadnienie projektu, pkt 2.</w:t>
            </w:r>
          </w:p>
          <w:p w14:paraId="773EDC33" w14:textId="77777777" w:rsidR="003806D9" w:rsidRDefault="003806D9" w:rsidP="00044044">
            <w:pPr>
              <w:rPr>
                <w:rFonts w:ascii="Arial" w:eastAsia="Times New Roman" w:hAnsi="Arial"/>
                <w:color w:val="808080" w:themeColor="background1" w:themeShade="80"/>
              </w:rPr>
            </w:pPr>
          </w:p>
          <w:p w14:paraId="419285A4" w14:textId="77777777" w:rsidR="003806D9" w:rsidRDefault="003806D9" w:rsidP="00044044">
            <w:pPr>
              <w:rPr>
                <w:rFonts w:ascii="Arial" w:eastAsia="Times New Roman" w:hAnsi="Arial"/>
                <w:color w:val="808080" w:themeColor="background1" w:themeShade="80"/>
              </w:rPr>
            </w:pPr>
          </w:p>
          <w:p w14:paraId="2D1DBAD2"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Opis skutków braku zmiany stanu obecnego</w:t>
            </w:r>
          </w:p>
          <w:p w14:paraId="6894E6C0" w14:textId="77777777" w:rsidR="003806D9" w:rsidRDefault="003806D9" w:rsidP="00044044">
            <w:pPr>
              <w:rPr>
                <w:rFonts w:ascii="Arial" w:eastAsia="Times New Roman" w:hAnsi="Arial"/>
                <w:color w:val="808080" w:themeColor="background1" w:themeShade="80"/>
              </w:rPr>
            </w:pPr>
          </w:p>
          <w:p w14:paraId="33653323"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Skutkiem braku zmiany stanu obecnego (tzw. scenariusza bazowego) byłoby wprowadzenie nowej instytucji konsultacji społecznych projektów ustaw wyłącznie na podstawie przepisów Regulaminu Sejmu. Taki stan rzeczy oznaczałby, iż zakres regulacji tej instytucji byłby niepełny, a przy tym wadliwy w świetle przepisów Konstytucji oraz prawa Unii Europejskiej. Brakowałoby bowiem wówczas:</w:t>
            </w:r>
          </w:p>
          <w:p w14:paraId="4C6781F5"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a) przepisów regulujących podmiotowy oraz przedmiotowy zakres prawa udziału w konsultacjach,</w:t>
            </w:r>
          </w:p>
          <w:p w14:paraId="39F16F58" w14:textId="77777777" w:rsidR="003806D9" w:rsidRPr="00EC1BF2"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 xml:space="preserve">b) ustawowej podstawy prawnej przetwarzania danych osobowych uczestników konsultacji, która odpowiadałaby wymogom konstytucyjnym, a także określonym w </w:t>
            </w:r>
            <w:r w:rsidRPr="007E3930">
              <w:rPr>
                <w:rFonts w:ascii="Arial" w:eastAsia="Times New Roman" w:hAnsi="Arial"/>
                <w:color w:val="808080" w:themeColor="background1" w:themeShade="80"/>
              </w:rPr>
              <w:t>rozporządzeniu Parlamentu Europejskiego i Rady (UE) 2016/679 z dnia 27 kwietnia 2016 r. w sprawie ochrony osób fizycznych w związku z przetwarzaniem danych osobowych i w sprawie swobodnego przepływu takich danych oraz uchylenia dyrektywy 95/46/WE</w:t>
            </w:r>
            <w:r>
              <w:rPr>
                <w:rFonts w:ascii="Arial" w:eastAsia="Times New Roman" w:hAnsi="Arial"/>
                <w:color w:val="808080" w:themeColor="background1" w:themeShade="80"/>
              </w:rPr>
              <w:t xml:space="preserve">; </w:t>
            </w:r>
            <w:r w:rsidRPr="007E3930">
              <w:rPr>
                <w:rFonts w:ascii="Arial" w:eastAsia="Times New Roman" w:hAnsi="Arial"/>
                <w:color w:val="808080" w:themeColor="background1" w:themeShade="80"/>
              </w:rPr>
              <w:t>ogólne rozporządzenie o ochronie danych, tzw. RODO</w:t>
            </w:r>
            <w:r>
              <w:rPr>
                <w:rFonts w:ascii="Arial" w:eastAsia="Times New Roman" w:hAnsi="Arial"/>
                <w:color w:val="808080" w:themeColor="background1" w:themeShade="80"/>
              </w:rPr>
              <w:t xml:space="preserve"> (</w:t>
            </w:r>
            <w:r w:rsidRPr="007E3930">
              <w:rPr>
                <w:rFonts w:ascii="Arial" w:eastAsia="Times New Roman" w:hAnsi="Arial"/>
                <w:color w:val="808080" w:themeColor="background1" w:themeShade="80"/>
              </w:rPr>
              <w:t>Dz. Urz. UE L 119 z 4.5.2016, s. 1)</w:t>
            </w:r>
            <w:r>
              <w:rPr>
                <w:rFonts w:ascii="Arial" w:eastAsia="Times New Roman" w:hAnsi="Arial"/>
                <w:color w:val="808080" w:themeColor="background1" w:themeShade="80"/>
              </w:rPr>
              <w:t>.</w:t>
            </w:r>
          </w:p>
        </w:tc>
      </w:tr>
    </w:tbl>
    <w:p w14:paraId="5C248948" w14:textId="77777777" w:rsidR="003806D9" w:rsidRDefault="003806D9" w:rsidP="003806D9">
      <w:pPr>
        <w:rPr>
          <w:rFonts w:ascii="Arial" w:hAnsi="Arial"/>
          <w:sz w:val="24"/>
        </w:rPr>
      </w:pPr>
    </w:p>
    <w:p w14:paraId="00B364F4" w14:textId="77777777" w:rsidR="003806D9" w:rsidRPr="009C37AF" w:rsidRDefault="003806D9" w:rsidP="003806D9">
      <w:pPr>
        <w:rPr>
          <w:rFonts w:ascii="Arial" w:hAnsi="Arial"/>
          <w:sz w:val="24"/>
        </w:rPr>
      </w:pPr>
    </w:p>
    <w:p w14:paraId="7D34974A" w14:textId="77777777" w:rsidR="003806D9" w:rsidRPr="009C37AF" w:rsidRDefault="003806D9" w:rsidP="003806D9">
      <w:pPr>
        <w:rPr>
          <w:rFonts w:ascii="Arial" w:hAnsi="Arial"/>
          <w:sz w:val="24"/>
        </w:rPr>
      </w:pPr>
      <w:r w:rsidRPr="009C37AF">
        <w:rPr>
          <w:rFonts w:ascii="Arial" w:hAnsi="Arial"/>
          <w:sz w:val="24"/>
        </w:rPr>
        <w:t>[2] Czy były rozważane rozwiązania alternatywne?</w:t>
      </w:r>
    </w:p>
    <w:p w14:paraId="659CE9FE" w14:textId="77777777" w:rsidR="003806D9" w:rsidRDefault="003806D9" w:rsidP="003806D9">
      <w:pPr>
        <w:pStyle w:val="Akapitzlist"/>
        <w:widowControl/>
        <w:numPr>
          <w:ilvl w:val="0"/>
          <w:numId w:val="4"/>
        </w:numPr>
        <w:autoSpaceDE/>
        <w:autoSpaceDN/>
        <w:adjustRightInd/>
        <w:spacing w:before="0" w:after="160" w:line="240" w:lineRule="auto"/>
        <w:rPr>
          <w:rFonts w:ascii="Arial" w:hAnsi="Arial" w:cs="Arial"/>
          <w:b/>
          <w:bCs/>
          <w:sz w:val="24"/>
        </w:rPr>
      </w:pPr>
      <w:r w:rsidRPr="007E3930">
        <w:rPr>
          <w:rFonts w:ascii="Arial" w:hAnsi="Arial" w:cs="Arial"/>
          <w:b/>
          <w:bCs/>
          <w:sz w:val="24"/>
        </w:rPr>
        <w:t xml:space="preserve">Tak </w:t>
      </w:r>
    </w:p>
    <w:p w14:paraId="4FC9A13F" w14:textId="77777777" w:rsidR="003806D9" w:rsidRPr="009F6777" w:rsidRDefault="003806D9" w:rsidP="003806D9">
      <w:pPr>
        <w:pStyle w:val="Akapitzlist"/>
        <w:spacing w:line="240" w:lineRule="auto"/>
        <w:rPr>
          <w:rFonts w:ascii="Arial" w:hAnsi="Arial" w:cs="Arial"/>
          <w:b/>
          <w:bCs/>
          <w:sz w:val="24"/>
        </w:rPr>
      </w:pPr>
    </w:p>
    <w:tbl>
      <w:tblPr>
        <w:tblStyle w:val="Tabela-Siatka"/>
        <w:tblW w:w="0" w:type="auto"/>
        <w:tblLook w:val="04A0" w:firstRow="1" w:lastRow="0" w:firstColumn="1" w:lastColumn="0" w:noHBand="0" w:noVBand="1"/>
      </w:tblPr>
      <w:tblGrid>
        <w:gridCol w:w="9060"/>
      </w:tblGrid>
      <w:tr w:rsidR="003806D9" w14:paraId="5FF16D2F" w14:textId="77777777" w:rsidTr="00044044">
        <w:tc>
          <w:tcPr>
            <w:tcW w:w="9062" w:type="dxa"/>
          </w:tcPr>
          <w:p w14:paraId="053BBDEA" w14:textId="77777777" w:rsidR="003806D9" w:rsidRPr="00FA0ECB" w:rsidRDefault="003806D9" w:rsidP="00044044">
            <w:pPr>
              <w:rPr>
                <w:rFonts w:ascii="Arial" w:hAnsi="Arial"/>
                <w:color w:val="808080" w:themeColor="background1" w:themeShade="80"/>
              </w:rPr>
            </w:pPr>
            <w:bookmarkStart w:id="1" w:name="_Hlk174441549"/>
            <w:r>
              <w:rPr>
                <w:rFonts w:ascii="Arial" w:hAnsi="Arial"/>
                <w:color w:val="808080" w:themeColor="background1" w:themeShade="80"/>
              </w:rPr>
              <w:t>Z uwagi na fakt, iż, jak wspomniano (zob. pkt 1 formularza), wprowadzenie konsultacji społecznych poselskich projektów ustaw stanowi jeden z kamieni milowych zawartych w KPO, kwestia scenariuszy alternatywnych ograniczała się do wypracowania właściwej koncepcji regulacyjnej wprowadzanych konsultacji społecznych. Pierwotnie w pracach przygotowawczych zakładano, iż wystarczające byłoby – tak jak to wprost wynika z KPO – uregulowanie kreowanej instytucji wyłącznie w przepisach Regulaminu Sejmu. Jednak po analizie obowiązującego stanu prawnego, w szczególności przepisów Konstytucji oraz RODO, uznano, że konieczne jest działanie dwutorowe, tj. wprowadzenie, obok przepisów regulaminowych, podstaw prawnych konsultacji społecznych także na poziomie ustawowym.</w:t>
            </w:r>
          </w:p>
        </w:tc>
      </w:tr>
      <w:bookmarkEnd w:id="1"/>
    </w:tbl>
    <w:p w14:paraId="4BF6803C" w14:textId="77777777" w:rsidR="003806D9" w:rsidRDefault="003806D9" w:rsidP="003806D9">
      <w:pPr>
        <w:rPr>
          <w:rFonts w:ascii="Arial" w:hAnsi="Arial"/>
          <w:b/>
          <w:sz w:val="24"/>
        </w:rPr>
      </w:pPr>
    </w:p>
    <w:p w14:paraId="4AA267AC" w14:textId="77777777" w:rsidR="003806D9" w:rsidRDefault="003806D9" w:rsidP="003806D9">
      <w:pPr>
        <w:rPr>
          <w:rFonts w:ascii="Arial" w:hAnsi="Arial"/>
          <w:b/>
          <w:sz w:val="24"/>
        </w:rPr>
      </w:pPr>
    </w:p>
    <w:p w14:paraId="536FFE36" w14:textId="77777777" w:rsidR="003806D9" w:rsidRDefault="003806D9" w:rsidP="003806D9">
      <w:pPr>
        <w:rPr>
          <w:rFonts w:ascii="Arial" w:hAnsi="Arial"/>
          <w:b/>
          <w:sz w:val="24"/>
        </w:rPr>
      </w:pPr>
      <w:r w:rsidRPr="009C37AF">
        <w:rPr>
          <w:rFonts w:ascii="Arial" w:hAnsi="Arial"/>
          <w:b/>
          <w:sz w:val="24"/>
        </w:rPr>
        <w:t xml:space="preserve">II. </w:t>
      </w:r>
      <w:r>
        <w:rPr>
          <w:rFonts w:ascii="Arial" w:hAnsi="Arial"/>
          <w:b/>
          <w:sz w:val="24"/>
        </w:rPr>
        <w:t>Wymogi określone w art. 34 ust. 2 pkt 3–5 regulaminu Sejmu</w:t>
      </w:r>
    </w:p>
    <w:p w14:paraId="0A783776" w14:textId="77777777" w:rsidR="003806D9" w:rsidRDefault="003806D9" w:rsidP="003806D9">
      <w:pPr>
        <w:rPr>
          <w:rFonts w:ascii="Arial" w:hAnsi="Arial"/>
          <w:sz w:val="24"/>
        </w:rPr>
      </w:pPr>
    </w:p>
    <w:p w14:paraId="40F4552D" w14:textId="77777777" w:rsidR="003806D9" w:rsidRDefault="003806D9" w:rsidP="003806D9">
      <w:pPr>
        <w:rPr>
          <w:rFonts w:ascii="Arial" w:hAnsi="Arial"/>
          <w:sz w:val="24"/>
        </w:rPr>
      </w:pPr>
      <w:r w:rsidRPr="009C37AF">
        <w:rPr>
          <w:rFonts w:ascii="Arial" w:hAnsi="Arial"/>
          <w:sz w:val="24"/>
        </w:rPr>
        <w:t xml:space="preserve">[3] Jakie są </w:t>
      </w:r>
      <w:r>
        <w:rPr>
          <w:rFonts w:ascii="Arial" w:hAnsi="Arial"/>
          <w:sz w:val="24"/>
        </w:rPr>
        <w:t>przewidywane</w:t>
      </w:r>
      <w:r w:rsidRPr="009C37AF">
        <w:rPr>
          <w:rFonts w:ascii="Arial" w:hAnsi="Arial"/>
          <w:sz w:val="24"/>
        </w:rPr>
        <w:t xml:space="preserve"> skutki prawne projektowanych rozwiązań?</w:t>
      </w:r>
    </w:p>
    <w:p w14:paraId="787478BC" w14:textId="77777777" w:rsidR="003806D9" w:rsidRDefault="003806D9" w:rsidP="003806D9">
      <w:pPr>
        <w:rPr>
          <w:rFonts w:ascii="Arial" w:hAnsi="Arial"/>
          <w:sz w:val="24"/>
        </w:rPr>
      </w:pPr>
    </w:p>
    <w:tbl>
      <w:tblPr>
        <w:tblStyle w:val="Tabela-Siatka"/>
        <w:tblW w:w="0" w:type="auto"/>
        <w:tblLook w:val="04A0" w:firstRow="1" w:lastRow="0" w:firstColumn="1" w:lastColumn="0" w:noHBand="0" w:noVBand="1"/>
      </w:tblPr>
      <w:tblGrid>
        <w:gridCol w:w="9060"/>
      </w:tblGrid>
      <w:tr w:rsidR="003806D9" w14:paraId="13CEA994" w14:textId="77777777" w:rsidTr="00044044">
        <w:tc>
          <w:tcPr>
            <w:tcW w:w="9062" w:type="dxa"/>
          </w:tcPr>
          <w:p w14:paraId="2748B8E3"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 xml:space="preserve">Różnica między </w:t>
            </w:r>
            <w:r w:rsidRPr="007A0EF9">
              <w:rPr>
                <w:rFonts w:ascii="Arial" w:eastAsia="Times New Roman" w:hAnsi="Arial"/>
                <w:color w:val="808080" w:themeColor="background1" w:themeShade="80"/>
              </w:rPr>
              <w:t>dotychczasowym a projektowanym stanem prawnym</w:t>
            </w:r>
          </w:p>
          <w:p w14:paraId="2BE9A838" w14:textId="77777777" w:rsidR="003806D9" w:rsidRDefault="003806D9" w:rsidP="00044044">
            <w:pPr>
              <w:rPr>
                <w:rFonts w:ascii="Arial" w:eastAsia="Times New Roman" w:hAnsi="Arial"/>
                <w:color w:val="808080" w:themeColor="background1" w:themeShade="80"/>
              </w:rPr>
            </w:pPr>
          </w:p>
          <w:p w14:paraId="3DE73852" w14:textId="2B30C261"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 xml:space="preserve">Jak już wspomniano (pkt 1 formularza), 26 lipca 2024 r. Sejm podjął uchwałę w sprawie zmiany swojego regulaminu, wprowadzając m.in. normatywne podstawy nowej instytucji prawnej, tj. konsultacji społecznych części projektów ustaw, w szczególności projektów poselskich. Przepisy dotyczące tej instytucji, przede wszystkim nowy art. 34a </w:t>
            </w:r>
            <w:r>
              <w:rPr>
                <w:rFonts w:ascii="Arial" w:eastAsia="Times New Roman" w:hAnsi="Arial"/>
                <w:color w:val="808080" w:themeColor="background1" w:themeShade="80"/>
              </w:rPr>
              <w:t>R</w:t>
            </w:r>
            <w:r>
              <w:rPr>
                <w:rFonts w:ascii="Arial" w:eastAsia="Times New Roman" w:hAnsi="Arial"/>
                <w:color w:val="808080" w:themeColor="background1" w:themeShade="80"/>
              </w:rPr>
              <w:t>egulaminu Sejmu, wejdą w życie 31 października 2024 r. (</w:t>
            </w:r>
            <w:r w:rsidRPr="003E7157">
              <w:rPr>
                <w:rFonts w:ascii="Arial" w:eastAsia="Times New Roman" w:hAnsi="Arial"/>
                <w:color w:val="808080" w:themeColor="background1" w:themeShade="80"/>
              </w:rPr>
              <w:t xml:space="preserve">art. 3 </w:t>
            </w:r>
            <w:r>
              <w:rPr>
                <w:rFonts w:ascii="Arial" w:eastAsia="Times New Roman" w:hAnsi="Arial"/>
                <w:color w:val="808080" w:themeColor="background1" w:themeShade="80"/>
              </w:rPr>
              <w:t xml:space="preserve">ww. </w:t>
            </w:r>
            <w:r w:rsidRPr="003E7157">
              <w:rPr>
                <w:rFonts w:ascii="Arial" w:eastAsia="Times New Roman" w:hAnsi="Arial"/>
                <w:color w:val="808080" w:themeColor="background1" w:themeShade="80"/>
              </w:rPr>
              <w:t>uchwały Sejmu Rzeczypospolitej Polskiej z 26 lipca 2024 r.</w:t>
            </w:r>
            <w:r>
              <w:rPr>
                <w:rFonts w:ascii="Arial" w:eastAsia="Times New Roman" w:hAnsi="Arial"/>
                <w:color w:val="808080" w:themeColor="background1" w:themeShade="80"/>
              </w:rPr>
              <w:t>). Zakres ich regulacji nie obejmuje materii objętych zakresem niniejszego projektu, co, jak już zasygnalizowano (zob. pkt 1 formularza), rodziłoby w przypadku zaniechania prac nad niniejszym projektem istotne zastrzeżenia prawne.</w:t>
            </w:r>
          </w:p>
          <w:p w14:paraId="4669D501" w14:textId="77777777" w:rsidR="003806D9" w:rsidRDefault="003806D9" w:rsidP="00044044">
            <w:pPr>
              <w:rPr>
                <w:rFonts w:ascii="Arial" w:eastAsia="Times New Roman" w:hAnsi="Arial"/>
                <w:color w:val="808080" w:themeColor="background1" w:themeShade="80"/>
              </w:rPr>
            </w:pPr>
          </w:p>
          <w:p w14:paraId="651D5D01"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Uwagi dodatkowe</w:t>
            </w:r>
          </w:p>
          <w:p w14:paraId="3285E0CE" w14:textId="77777777" w:rsidR="003806D9" w:rsidRDefault="003806D9" w:rsidP="00044044">
            <w:pPr>
              <w:rPr>
                <w:rFonts w:ascii="Arial" w:eastAsia="Times New Roman" w:hAnsi="Arial"/>
                <w:color w:val="808080" w:themeColor="background1" w:themeShade="80"/>
              </w:rPr>
            </w:pPr>
          </w:p>
          <w:p w14:paraId="550E18D3"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O</w:t>
            </w:r>
            <w:r w:rsidRPr="00FA0ECB">
              <w:rPr>
                <w:rFonts w:ascii="Arial" w:eastAsia="Times New Roman" w:hAnsi="Arial"/>
                <w:color w:val="808080" w:themeColor="background1" w:themeShade="80"/>
              </w:rPr>
              <w:t>cen</w:t>
            </w:r>
            <w:r>
              <w:rPr>
                <w:rFonts w:ascii="Arial" w:eastAsia="Times New Roman" w:hAnsi="Arial"/>
                <w:color w:val="808080" w:themeColor="background1" w:themeShade="80"/>
              </w:rPr>
              <w:t>a</w:t>
            </w:r>
            <w:r w:rsidRPr="00FA0ECB">
              <w:rPr>
                <w:rFonts w:ascii="Arial" w:eastAsia="Times New Roman" w:hAnsi="Arial"/>
                <w:color w:val="808080" w:themeColor="background1" w:themeShade="80"/>
              </w:rPr>
              <w:t xml:space="preserve"> spójnoś</w:t>
            </w:r>
            <w:r>
              <w:rPr>
                <w:rFonts w:ascii="Arial" w:eastAsia="Times New Roman" w:hAnsi="Arial"/>
                <w:color w:val="808080" w:themeColor="background1" w:themeShade="80"/>
              </w:rPr>
              <w:t>ci</w:t>
            </w:r>
            <w:r w:rsidRPr="00FA0ECB">
              <w:rPr>
                <w:rFonts w:ascii="Arial" w:eastAsia="Times New Roman" w:hAnsi="Arial"/>
                <w:color w:val="808080" w:themeColor="background1" w:themeShade="80"/>
              </w:rPr>
              <w:t xml:space="preserve"> projektowanych rozwiązań z dotychczasowymi regulacjami </w:t>
            </w:r>
          </w:p>
          <w:p w14:paraId="18DB3643" w14:textId="77777777" w:rsidR="003806D9" w:rsidRDefault="003806D9" w:rsidP="00044044">
            <w:pPr>
              <w:rPr>
                <w:rFonts w:ascii="Arial" w:eastAsia="Times New Roman" w:hAnsi="Arial"/>
                <w:color w:val="808080" w:themeColor="background1" w:themeShade="80"/>
              </w:rPr>
            </w:pPr>
          </w:p>
          <w:p w14:paraId="2CBD797D"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 xml:space="preserve">W ocenie wnioskodawcy proponowany zakres projektu jest odpowiedni w świetle obowiązujących rozwiązań normatywnych rzutujących na pożądany sposób prawnego opisu </w:t>
            </w:r>
            <w:r w:rsidRPr="00862D01">
              <w:rPr>
                <w:rFonts w:ascii="Arial" w:eastAsia="Times New Roman" w:hAnsi="Arial"/>
                <w:color w:val="808080" w:themeColor="background1" w:themeShade="80"/>
              </w:rPr>
              <w:t>mechanizmów partycypacji społecznej</w:t>
            </w:r>
            <w:r>
              <w:rPr>
                <w:rFonts w:ascii="Arial" w:eastAsia="Times New Roman" w:hAnsi="Arial"/>
                <w:color w:val="808080" w:themeColor="background1" w:themeShade="80"/>
              </w:rPr>
              <w:t xml:space="preserve"> w procesie stanowienia prawa. Wydaje się przy tym, że przyjęcie projektu </w:t>
            </w:r>
            <w:r>
              <w:rPr>
                <w:rFonts w:ascii="Arial" w:eastAsia="Times New Roman" w:hAnsi="Arial"/>
                <w:color w:val="808080" w:themeColor="background1" w:themeShade="80"/>
              </w:rPr>
              <w:lastRenderedPageBreak/>
              <w:t>może stanowić asumpt do przemyślenia obowiązujących podstaw normatywnych dotyczących innych form partycypacji społecznej, np. wysłuchania publicznego czy konsultacji społecznych przeprowadzanych na podstawie odrębnych przepisów. Zakres regulacji tych instytucji prawnych w obowiązujących przepisach ustawowych zazwyczaj nie jest tak rozbudowany, jak materia niniejszego projektu.</w:t>
            </w:r>
          </w:p>
          <w:p w14:paraId="7BEA7F62" w14:textId="77777777" w:rsidR="003806D9" w:rsidRDefault="003806D9" w:rsidP="00044044">
            <w:pPr>
              <w:rPr>
                <w:rFonts w:ascii="Arial" w:eastAsia="Times New Roman" w:hAnsi="Arial"/>
                <w:color w:val="808080" w:themeColor="background1" w:themeShade="80"/>
              </w:rPr>
            </w:pPr>
          </w:p>
          <w:p w14:paraId="6E25BDAC" w14:textId="5FED8103" w:rsidR="003806D9" w:rsidRDefault="003806D9" w:rsidP="00044044">
            <w:pPr>
              <w:rPr>
                <w:rFonts w:ascii="Arial" w:eastAsia="Times New Roman" w:hAnsi="Arial"/>
                <w:color w:val="808080" w:themeColor="background1" w:themeShade="80"/>
              </w:rPr>
            </w:pPr>
            <w:r w:rsidRPr="000C349A">
              <w:rPr>
                <w:rFonts w:ascii="Arial" w:eastAsia="Times New Roman" w:hAnsi="Arial"/>
                <w:i/>
                <w:iCs/>
                <w:color w:val="808080" w:themeColor="background1" w:themeShade="80"/>
              </w:rPr>
              <w:t>Prima facie</w:t>
            </w:r>
            <w:r>
              <w:rPr>
                <w:rFonts w:ascii="Arial" w:eastAsia="Times New Roman" w:hAnsi="Arial"/>
                <w:color w:val="808080" w:themeColor="background1" w:themeShade="80"/>
              </w:rPr>
              <w:t xml:space="preserve"> wątpliwości może budzić określenie projektowanej instytucji mianem „konsultacji społecznych” w sytuacji, gdy w analogicznych rozwiązaniach normatywnych dotyczących rządowego procesu legislacyjnego (np. art. 7 ust. 4 pkt 3 i art. 39b ustawy z </w:t>
            </w:r>
            <w:r>
              <w:rPr>
                <w:rFonts w:ascii="Arial" w:eastAsia="Times New Roman" w:hAnsi="Arial"/>
                <w:color w:val="808080" w:themeColor="background1" w:themeShade="80"/>
              </w:rPr>
              <w:t xml:space="preserve">dnia </w:t>
            </w:r>
            <w:r w:rsidRPr="00630B2C">
              <w:rPr>
                <w:rFonts w:ascii="Arial" w:eastAsia="Times New Roman" w:hAnsi="Arial"/>
                <w:color w:val="808080" w:themeColor="background1" w:themeShade="80"/>
              </w:rPr>
              <w:t>8 sierpnia 1996 r. o Radzie Ministrów</w:t>
            </w:r>
            <w:r>
              <w:rPr>
                <w:rFonts w:ascii="Arial" w:eastAsia="Times New Roman" w:hAnsi="Arial"/>
                <w:color w:val="808080" w:themeColor="background1" w:themeShade="80"/>
              </w:rPr>
              <w:t xml:space="preserve">; Dz. U. z </w:t>
            </w:r>
            <w:r w:rsidRPr="00630B2C">
              <w:rPr>
                <w:rFonts w:ascii="Arial" w:eastAsia="Times New Roman" w:hAnsi="Arial"/>
                <w:color w:val="808080" w:themeColor="background1" w:themeShade="80"/>
              </w:rPr>
              <w:t>2024 r.</w:t>
            </w:r>
            <w:r>
              <w:rPr>
                <w:rFonts w:ascii="Arial" w:eastAsia="Times New Roman" w:hAnsi="Arial"/>
                <w:color w:val="808080" w:themeColor="background1" w:themeShade="80"/>
              </w:rPr>
              <w:t xml:space="preserve"> </w:t>
            </w:r>
            <w:r w:rsidRPr="00630B2C">
              <w:rPr>
                <w:rFonts w:ascii="Arial" w:eastAsia="Times New Roman" w:hAnsi="Arial"/>
                <w:color w:val="808080" w:themeColor="background1" w:themeShade="80"/>
              </w:rPr>
              <w:t>poz. 1050</w:t>
            </w:r>
            <w:r>
              <w:rPr>
                <w:rFonts w:ascii="Arial" w:eastAsia="Times New Roman" w:hAnsi="Arial"/>
                <w:color w:val="808080" w:themeColor="background1" w:themeShade="80"/>
              </w:rPr>
              <w:t>) występuje pojęcie „konsultacji publicznych”. Zdaniem wnioskodawców pojęcie proponowane w przepisach projektu jest jednak właściwe, gdyż występuje w wielu innych przepisach, w tym dotyczących konsultacji prowadzonych przez organy jednostek samorządu terytorialnego (np. art. 5a ust. 3 ustawy z</w:t>
            </w:r>
            <w:r>
              <w:rPr>
                <w:rFonts w:ascii="Arial" w:eastAsia="Times New Roman" w:hAnsi="Arial"/>
                <w:color w:val="808080" w:themeColor="background1" w:themeShade="80"/>
              </w:rPr>
              <w:t xml:space="preserve"> dnia</w:t>
            </w:r>
            <w:r>
              <w:rPr>
                <w:rFonts w:ascii="Arial" w:eastAsia="Times New Roman" w:hAnsi="Arial"/>
                <w:color w:val="808080" w:themeColor="background1" w:themeShade="80"/>
              </w:rPr>
              <w:t xml:space="preserve"> </w:t>
            </w:r>
            <w:r w:rsidRPr="000C349A">
              <w:rPr>
                <w:rFonts w:ascii="Arial" w:eastAsia="Times New Roman" w:hAnsi="Arial"/>
                <w:color w:val="808080" w:themeColor="background1" w:themeShade="80"/>
              </w:rPr>
              <w:t>8 marca 1990 r.</w:t>
            </w:r>
            <w:r>
              <w:rPr>
                <w:rFonts w:ascii="Arial" w:eastAsia="Times New Roman" w:hAnsi="Arial"/>
                <w:color w:val="808080" w:themeColor="background1" w:themeShade="80"/>
              </w:rPr>
              <w:t xml:space="preserve"> </w:t>
            </w:r>
            <w:r w:rsidRPr="000C349A">
              <w:rPr>
                <w:rFonts w:ascii="Arial" w:eastAsia="Times New Roman" w:hAnsi="Arial"/>
                <w:color w:val="808080" w:themeColor="background1" w:themeShade="80"/>
              </w:rPr>
              <w:t>o samorządzie gminnym</w:t>
            </w:r>
            <w:r>
              <w:rPr>
                <w:rFonts w:ascii="Arial" w:eastAsia="Times New Roman" w:hAnsi="Arial"/>
                <w:color w:val="808080" w:themeColor="background1" w:themeShade="80"/>
              </w:rPr>
              <w:t xml:space="preserve">; Dz. U. z 2024 r. poz. 721), a także w Regulaminie Senatu (art. 79a ust. 2 i 3). Warto przy tym odnotować, że w przyjętych 26 lipca 2024 r. przepisach Regulaminu Sejmu zakłada się wyłączenie przeprowadzania konsultacji społecznych względem rządowych projektów ustaw.  </w:t>
            </w:r>
          </w:p>
          <w:p w14:paraId="124D6166" w14:textId="77777777" w:rsidR="003806D9" w:rsidRDefault="003806D9" w:rsidP="00044044">
            <w:pPr>
              <w:rPr>
                <w:rFonts w:ascii="Arial" w:eastAsia="Times New Roman" w:hAnsi="Arial"/>
                <w:color w:val="808080" w:themeColor="background1" w:themeShade="80"/>
              </w:rPr>
            </w:pPr>
          </w:p>
          <w:p w14:paraId="3D9E3A35"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O</w:t>
            </w:r>
            <w:r w:rsidRPr="00FA0ECB">
              <w:rPr>
                <w:rFonts w:ascii="Arial" w:eastAsia="Times New Roman" w:hAnsi="Arial"/>
                <w:color w:val="808080" w:themeColor="background1" w:themeShade="80"/>
              </w:rPr>
              <w:t>cen</w:t>
            </w:r>
            <w:r>
              <w:rPr>
                <w:rFonts w:ascii="Arial" w:eastAsia="Times New Roman" w:hAnsi="Arial"/>
                <w:color w:val="808080" w:themeColor="background1" w:themeShade="80"/>
              </w:rPr>
              <w:t>a</w:t>
            </w:r>
            <w:r w:rsidRPr="00FA0ECB">
              <w:rPr>
                <w:rFonts w:ascii="Arial" w:eastAsia="Times New Roman" w:hAnsi="Arial"/>
                <w:color w:val="808080" w:themeColor="background1" w:themeShade="80"/>
              </w:rPr>
              <w:t xml:space="preserve"> zgodnoś</w:t>
            </w:r>
            <w:r>
              <w:rPr>
                <w:rFonts w:ascii="Arial" w:eastAsia="Times New Roman" w:hAnsi="Arial"/>
                <w:color w:val="808080" w:themeColor="background1" w:themeShade="80"/>
              </w:rPr>
              <w:t>ci</w:t>
            </w:r>
            <w:r w:rsidRPr="00FA0ECB">
              <w:rPr>
                <w:rFonts w:ascii="Arial" w:eastAsia="Times New Roman" w:hAnsi="Arial"/>
                <w:color w:val="808080" w:themeColor="background1" w:themeShade="80"/>
              </w:rPr>
              <w:t xml:space="preserve"> projektowanych rozwiązań z Konstytucją RP, w tym z konstytucyjnym standardem ochrony wolności i praw </w:t>
            </w:r>
          </w:p>
          <w:p w14:paraId="7A2BC6E9" w14:textId="77777777" w:rsidR="003806D9" w:rsidRDefault="003806D9" w:rsidP="00044044">
            <w:pPr>
              <w:rPr>
                <w:rFonts w:ascii="Arial" w:eastAsia="Times New Roman" w:hAnsi="Arial"/>
                <w:color w:val="808080" w:themeColor="background1" w:themeShade="80"/>
              </w:rPr>
            </w:pPr>
          </w:p>
          <w:p w14:paraId="7C7AD9AB"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Projektowana instytucja zakłada wykreowanie nowego prawa ustawowego (prawa do udziału w konsultacjach społecznych projektów ustaw na zasadach określonych w Regulaminie Sejmu), nie stanowiąc tym samym ustawowej implementacji prawa rangi konstytucyjnej. W konsekwencji nie występuje tu problem zgodności z normą konstytucyjną bezpośrednio determinującą ramy prawne projektowanych przepisów ustawowych. Trzeba jednak podkreślić, że przetwarzanie danych osobowych uczestników konsultacji społecznych stanowi materię objętą zakresem tzw. autonomii informacyjnej jednostki, której podstawy zostały określone w art. 51 Konstytucji. Zgodnie z art. 51 ust. 1 ustawy zasadniczej n</w:t>
            </w:r>
            <w:r w:rsidRPr="00F1252F">
              <w:rPr>
                <w:rFonts w:ascii="Arial" w:eastAsia="Times New Roman" w:hAnsi="Arial"/>
                <w:color w:val="808080" w:themeColor="background1" w:themeShade="80"/>
              </w:rPr>
              <w:t>ikt nie może być obowiązany inaczej niż na podstawie ustawy do ujawniania informacji dotyczących jego osoby.</w:t>
            </w:r>
            <w:r>
              <w:rPr>
                <w:rFonts w:ascii="Arial" w:eastAsia="Times New Roman" w:hAnsi="Arial"/>
                <w:color w:val="808080" w:themeColor="background1" w:themeShade="80"/>
              </w:rPr>
              <w:t xml:space="preserve"> Ponadto w</w:t>
            </w:r>
            <w:r w:rsidRPr="00F1252F">
              <w:rPr>
                <w:rFonts w:ascii="Arial" w:eastAsia="Times New Roman" w:hAnsi="Arial"/>
                <w:color w:val="808080" w:themeColor="background1" w:themeShade="80"/>
              </w:rPr>
              <w:t>ładze publiczne nie mogą pozyskiwać, gromadzić i udostępniać innych informacji o obywatelach niż niezbędne w demokratycznym państwie prawnym</w:t>
            </w:r>
            <w:r>
              <w:rPr>
                <w:rFonts w:ascii="Arial" w:eastAsia="Times New Roman" w:hAnsi="Arial"/>
                <w:color w:val="808080" w:themeColor="background1" w:themeShade="80"/>
              </w:rPr>
              <w:t xml:space="preserve"> (art. 51 ust. 2 Konstytucji). W świetle tych przepisów konieczne jest, aby, kreując nową, w założeniu szeroko dostępną instytucję konsultacji społecznych, wprowadzić na poziomie ustawowym przepisy, które w sposób precyzyjny wskażą zakres przetwarzanych danych osobowych uczestników konsultacji, a także nie określą zakresu przetwarzanych danych w sposób zbyt szeroki (nieproporcjonalny).</w:t>
            </w:r>
          </w:p>
          <w:p w14:paraId="0FFD6D3C" w14:textId="77777777" w:rsidR="003806D9" w:rsidRDefault="003806D9" w:rsidP="00044044">
            <w:pPr>
              <w:rPr>
                <w:rFonts w:ascii="Arial" w:eastAsia="Times New Roman" w:hAnsi="Arial"/>
                <w:color w:val="808080" w:themeColor="background1" w:themeShade="80"/>
              </w:rPr>
            </w:pPr>
          </w:p>
          <w:p w14:paraId="085450DF"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 xml:space="preserve">W projekcie uwzględniono ponadto wynikający z konstytucyjnej zasady równości (art. 32 ust. 1 Konstytucji) wymóg tzw. równości w prawie, tj. stanowienia prawa w taki sposób, aby równo traktować podmioty podobne (wyróżniające się posiadaniem danej cechy, tzw. cechy relewantnej). Świadczy o tym proponowany art. 9a ust. 3 ustawy, w którym wprowadza się możliwość zgłoszenia uwag w ramach konsultacji społecznych </w:t>
            </w:r>
            <w:r w:rsidRPr="00A518ED">
              <w:rPr>
                <w:rFonts w:ascii="Arial" w:eastAsia="Times New Roman" w:hAnsi="Arial"/>
                <w:color w:val="808080" w:themeColor="background1" w:themeShade="80"/>
              </w:rPr>
              <w:t>przez osobę fizyczną we własnym imieniu albo na rzecz osoby prawnej lub podmiotu innego niż osoba prawna</w:t>
            </w:r>
            <w:r>
              <w:rPr>
                <w:rFonts w:ascii="Arial" w:eastAsia="Times New Roman" w:hAnsi="Arial"/>
                <w:color w:val="808080" w:themeColor="background1" w:themeShade="80"/>
              </w:rPr>
              <w:t xml:space="preserve">. Rozwiązanie to wiąże się </w:t>
            </w:r>
            <w:r w:rsidRPr="00A518ED">
              <w:rPr>
                <w:rFonts w:ascii="Arial" w:eastAsia="Times New Roman" w:hAnsi="Arial"/>
                <w:color w:val="808080" w:themeColor="background1" w:themeShade="80"/>
              </w:rPr>
              <w:t>z przewidywaną w</w:t>
            </w:r>
            <w:r>
              <w:rPr>
                <w:rFonts w:ascii="Arial" w:eastAsia="Times New Roman" w:hAnsi="Arial"/>
                <w:color w:val="808080" w:themeColor="background1" w:themeShade="80"/>
              </w:rPr>
              <w:t> </w:t>
            </w:r>
            <w:r w:rsidRPr="00A518ED">
              <w:rPr>
                <w:rFonts w:ascii="Arial" w:eastAsia="Times New Roman" w:hAnsi="Arial"/>
                <w:color w:val="808080" w:themeColor="background1" w:themeShade="80"/>
              </w:rPr>
              <w:t>projektowanym art. 9b</w:t>
            </w:r>
            <w:r>
              <w:rPr>
                <w:rFonts w:ascii="Arial" w:eastAsia="Times New Roman" w:hAnsi="Arial"/>
                <w:color w:val="808080" w:themeColor="background1" w:themeShade="80"/>
              </w:rPr>
              <w:t xml:space="preserve"> ustawy </w:t>
            </w:r>
            <w:r w:rsidRPr="00A518ED">
              <w:rPr>
                <w:rFonts w:ascii="Arial" w:eastAsia="Times New Roman" w:hAnsi="Arial"/>
                <w:color w:val="808080" w:themeColor="background1" w:themeShade="80"/>
              </w:rPr>
              <w:t xml:space="preserve">wyłącznie elektroniczną formą zgłaszania uwag, </w:t>
            </w:r>
            <w:r>
              <w:rPr>
                <w:rFonts w:ascii="Arial" w:eastAsia="Times New Roman" w:hAnsi="Arial"/>
                <w:color w:val="808080" w:themeColor="background1" w:themeShade="80"/>
              </w:rPr>
              <w:t>umożliwiając</w:t>
            </w:r>
            <w:r w:rsidRPr="00A518ED">
              <w:rPr>
                <w:rFonts w:ascii="Arial" w:eastAsia="Times New Roman" w:hAnsi="Arial"/>
                <w:color w:val="808080" w:themeColor="background1" w:themeShade="80"/>
              </w:rPr>
              <w:t xml:space="preserve"> minimalizowanie skutków tzw. wykluczenia cyfrowego, tj. faktycznego braku możliwości wzięcia udziału w konsultacjach przez osoby, które nie mają dostępu do </w:t>
            </w:r>
            <w:r>
              <w:rPr>
                <w:rFonts w:ascii="Arial" w:eastAsia="Times New Roman" w:hAnsi="Arial"/>
                <w:color w:val="808080" w:themeColor="background1" w:themeShade="80"/>
              </w:rPr>
              <w:t xml:space="preserve">odpowiedniej </w:t>
            </w:r>
            <w:r w:rsidRPr="00A518ED">
              <w:rPr>
                <w:rFonts w:ascii="Arial" w:eastAsia="Times New Roman" w:hAnsi="Arial"/>
                <w:color w:val="808080" w:themeColor="background1" w:themeShade="80"/>
              </w:rPr>
              <w:t>usługi elektronicznej.</w:t>
            </w:r>
          </w:p>
          <w:p w14:paraId="4B46F236" w14:textId="77777777" w:rsidR="003806D9" w:rsidRDefault="003806D9" w:rsidP="00044044">
            <w:pPr>
              <w:rPr>
                <w:rFonts w:ascii="Arial" w:eastAsia="Times New Roman" w:hAnsi="Arial"/>
                <w:color w:val="808080" w:themeColor="background1" w:themeShade="80"/>
              </w:rPr>
            </w:pPr>
          </w:p>
          <w:p w14:paraId="7BC6F0CF"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O</w:t>
            </w:r>
            <w:r w:rsidRPr="00FA0ECB">
              <w:rPr>
                <w:rFonts w:ascii="Arial" w:eastAsia="Times New Roman" w:hAnsi="Arial"/>
                <w:color w:val="808080" w:themeColor="background1" w:themeShade="80"/>
              </w:rPr>
              <w:t>cen</w:t>
            </w:r>
            <w:r>
              <w:rPr>
                <w:rFonts w:ascii="Arial" w:eastAsia="Times New Roman" w:hAnsi="Arial"/>
                <w:color w:val="808080" w:themeColor="background1" w:themeShade="80"/>
              </w:rPr>
              <w:t>a</w:t>
            </w:r>
            <w:r w:rsidRPr="00FA0ECB">
              <w:rPr>
                <w:rFonts w:ascii="Arial" w:eastAsia="Times New Roman" w:hAnsi="Arial"/>
                <w:color w:val="808080" w:themeColor="background1" w:themeShade="80"/>
              </w:rPr>
              <w:t xml:space="preserve"> projektowan</w:t>
            </w:r>
            <w:r>
              <w:rPr>
                <w:rFonts w:ascii="Arial" w:eastAsia="Times New Roman" w:hAnsi="Arial"/>
                <w:color w:val="808080" w:themeColor="background1" w:themeShade="80"/>
              </w:rPr>
              <w:t>ych</w:t>
            </w:r>
            <w:r w:rsidRPr="00FA0ECB">
              <w:rPr>
                <w:rFonts w:ascii="Arial" w:eastAsia="Times New Roman" w:hAnsi="Arial"/>
                <w:color w:val="808080" w:themeColor="background1" w:themeShade="80"/>
              </w:rPr>
              <w:t xml:space="preserve"> rozwiąza</w:t>
            </w:r>
            <w:r>
              <w:rPr>
                <w:rFonts w:ascii="Arial" w:eastAsia="Times New Roman" w:hAnsi="Arial"/>
                <w:color w:val="808080" w:themeColor="background1" w:themeShade="80"/>
              </w:rPr>
              <w:t>ń</w:t>
            </w:r>
            <w:r w:rsidRPr="00FA0ECB">
              <w:rPr>
                <w:rFonts w:ascii="Arial" w:eastAsia="Times New Roman" w:hAnsi="Arial"/>
                <w:color w:val="808080" w:themeColor="background1" w:themeShade="80"/>
              </w:rPr>
              <w:t xml:space="preserve"> w świetle prawa międzynarodowego i prawa UE</w:t>
            </w:r>
          </w:p>
          <w:p w14:paraId="1A112452" w14:textId="77777777" w:rsidR="003806D9" w:rsidRDefault="003806D9" w:rsidP="00044044">
            <w:pPr>
              <w:rPr>
                <w:rFonts w:ascii="Arial" w:eastAsia="Times New Roman" w:hAnsi="Arial"/>
                <w:color w:val="808080" w:themeColor="background1" w:themeShade="80"/>
              </w:rPr>
            </w:pPr>
          </w:p>
          <w:p w14:paraId="1EAB1FA7" w14:textId="77777777" w:rsidR="003806D9" w:rsidRDefault="003806D9" w:rsidP="00044044">
            <w:pPr>
              <w:rPr>
                <w:rFonts w:ascii="Arial" w:eastAsia="Times New Roman" w:hAnsi="Arial"/>
                <w:color w:val="808080" w:themeColor="background1" w:themeShade="80"/>
              </w:rPr>
            </w:pPr>
            <w:r>
              <w:rPr>
                <w:rFonts w:ascii="Arial" w:eastAsia="Times New Roman" w:hAnsi="Arial"/>
                <w:color w:val="808080" w:themeColor="background1" w:themeShade="80"/>
              </w:rPr>
              <w:t xml:space="preserve">Treść projektowanych art. 9c i 9d ustawy koresponduje z wymogami określonymi w RODO. Przepisy te realizują dyspozycję art. 6 ust. 3 RODO, w którym zostały określone wymogi dotyczące treści podstawy prawnej przetwarzania danych osobowych </w:t>
            </w:r>
            <w:r w:rsidRPr="0018182B">
              <w:rPr>
                <w:rFonts w:ascii="Arial" w:eastAsia="Times New Roman" w:hAnsi="Arial"/>
                <w:color w:val="808080" w:themeColor="background1" w:themeShade="80"/>
              </w:rPr>
              <w:t>w prawie państwa członkowskiego, któremu podlega administrator.</w:t>
            </w:r>
            <w:r>
              <w:t xml:space="preserve"> </w:t>
            </w:r>
            <w:r w:rsidRPr="0018182B">
              <w:rPr>
                <w:rFonts w:ascii="Arial" w:eastAsia="Times New Roman" w:hAnsi="Arial"/>
                <w:color w:val="808080" w:themeColor="background1" w:themeShade="80"/>
              </w:rPr>
              <w:t>Przede wszystkim określono w nich cel i zakres przetwarzania</w:t>
            </w:r>
            <w:r>
              <w:rPr>
                <w:rFonts w:ascii="Arial" w:eastAsia="Times New Roman" w:hAnsi="Arial"/>
                <w:color w:val="808080" w:themeColor="background1" w:themeShade="80"/>
              </w:rPr>
              <w:t xml:space="preserve"> danych osobowych</w:t>
            </w:r>
            <w:r w:rsidRPr="0018182B">
              <w:rPr>
                <w:rFonts w:ascii="Arial" w:eastAsia="Times New Roman" w:hAnsi="Arial"/>
                <w:color w:val="808080" w:themeColor="background1" w:themeShade="80"/>
              </w:rPr>
              <w:t xml:space="preserve">. </w:t>
            </w:r>
            <w:r>
              <w:rPr>
                <w:rFonts w:ascii="Arial" w:eastAsia="Times New Roman" w:hAnsi="Arial"/>
                <w:color w:val="808080" w:themeColor="background1" w:themeShade="80"/>
              </w:rPr>
              <w:t>Podstawowym c</w:t>
            </w:r>
            <w:r w:rsidRPr="0018182B">
              <w:rPr>
                <w:rFonts w:ascii="Arial" w:eastAsia="Times New Roman" w:hAnsi="Arial"/>
                <w:color w:val="808080" w:themeColor="background1" w:themeShade="80"/>
              </w:rPr>
              <w:t>el</w:t>
            </w:r>
            <w:r>
              <w:rPr>
                <w:rFonts w:ascii="Arial" w:eastAsia="Times New Roman" w:hAnsi="Arial"/>
                <w:color w:val="808080" w:themeColor="background1" w:themeShade="80"/>
              </w:rPr>
              <w:t>em</w:t>
            </w:r>
            <w:r w:rsidRPr="0018182B">
              <w:rPr>
                <w:rFonts w:ascii="Arial" w:eastAsia="Times New Roman" w:hAnsi="Arial"/>
                <w:color w:val="808080" w:themeColor="background1" w:themeShade="80"/>
              </w:rPr>
              <w:t xml:space="preserve"> przetwarzania </w:t>
            </w:r>
            <w:r>
              <w:rPr>
                <w:rFonts w:ascii="Arial" w:eastAsia="Times New Roman" w:hAnsi="Arial"/>
                <w:color w:val="808080" w:themeColor="background1" w:themeShade="80"/>
              </w:rPr>
              <w:t>jest</w:t>
            </w:r>
            <w:r w:rsidRPr="0018182B">
              <w:rPr>
                <w:rFonts w:ascii="Arial" w:eastAsia="Times New Roman" w:hAnsi="Arial"/>
                <w:color w:val="808080" w:themeColor="background1" w:themeShade="80"/>
              </w:rPr>
              <w:t xml:space="preserve"> „przeprowadzenie konsultacji społecznych”</w:t>
            </w:r>
            <w:r>
              <w:rPr>
                <w:rFonts w:ascii="Arial" w:eastAsia="Times New Roman" w:hAnsi="Arial"/>
                <w:color w:val="808080" w:themeColor="background1" w:themeShade="80"/>
              </w:rPr>
              <w:t xml:space="preserve"> (art. 9d)</w:t>
            </w:r>
            <w:r w:rsidRPr="0018182B">
              <w:rPr>
                <w:rFonts w:ascii="Arial" w:eastAsia="Times New Roman" w:hAnsi="Arial"/>
                <w:color w:val="808080" w:themeColor="background1" w:themeShade="80"/>
              </w:rPr>
              <w:t xml:space="preserve">, co koresponduje </w:t>
            </w:r>
            <w:r>
              <w:rPr>
                <w:rFonts w:ascii="Arial" w:eastAsia="Times New Roman" w:hAnsi="Arial"/>
                <w:color w:val="808080" w:themeColor="background1" w:themeShade="80"/>
              </w:rPr>
              <w:t xml:space="preserve">z celami określonymi w </w:t>
            </w:r>
            <w:r w:rsidRPr="0018182B">
              <w:rPr>
                <w:rFonts w:ascii="Arial" w:eastAsia="Times New Roman" w:hAnsi="Arial"/>
                <w:color w:val="808080" w:themeColor="background1" w:themeShade="80"/>
              </w:rPr>
              <w:t>art. 6 pkt 1 c RODO („przetwarzanie jest niezbędne do wypełnienia obowiązku prawnego ciążącego na administratorze”) oraz art. 6 pkt 1 lit. e RODO („przetwarzanie jest niezbędne do wykonania zadania realizowanego w interesie publicznym lub w</w:t>
            </w:r>
            <w:r>
              <w:rPr>
                <w:rFonts w:ascii="Arial" w:eastAsia="Times New Roman" w:hAnsi="Arial"/>
                <w:color w:val="808080" w:themeColor="background1" w:themeShade="80"/>
              </w:rPr>
              <w:t> </w:t>
            </w:r>
            <w:r w:rsidRPr="0018182B">
              <w:rPr>
                <w:rFonts w:ascii="Arial" w:eastAsia="Times New Roman" w:hAnsi="Arial"/>
                <w:color w:val="808080" w:themeColor="background1" w:themeShade="80"/>
              </w:rPr>
              <w:t xml:space="preserve">ramach sprawowania władzy publicznej powierzonej administratorowi”). Tak ustalony cel uzasadnia </w:t>
            </w:r>
            <w:r>
              <w:rPr>
                <w:rFonts w:ascii="Arial" w:eastAsia="Times New Roman" w:hAnsi="Arial"/>
                <w:color w:val="808080" w:themeColor="background1" w:themeShade="80"/>
              </w:rPr>
              <w:t xml:space="preserve">przyjęcie w projektowanych przepisach rozwiązania, w myśl którego przetwarzanie danych osobowych nie będzie warunkowane zgodą uczestników konsultacji społecznych, lecz nastąpi z mocy ustawy. Dodatkowo w art. 9c ustawy przewiduje się, iż przetwarzanie danych osobowych </w:t>
            </w:r>
            <w:r>
              <w:rPr>
                <w:rFonts w:ascii="Arial" w:eastAsia="Times New Roman" w:hAnsi="Arial"/>
                <w:color w:val="808080" w:themeColor="background1" w:themeShade="80"/>
              </w:rPr>
              <w:lastRenderedPageBreak/>
              <w:t>będzie następować również „do celów statystycznych”, co jest dopuszczalne w świetle art. 5 ust. 1 lit. b RODO.</w:t>
            </w:r>
          </w:p>
          <w:p w14:paraId="25EA168C" w14:textId="77777777" w:rsidR="003806D9" w:rsidRDefault="003806D9" w:rsidP="00044044">
            <w:pPr>
              <w:rPr>
                <w:rFonts w:ascii="Arial" w:eastAsia="Times New Roman" w:hAnsi="Arial"/>
                <w:color w:val="808080" w:themeColor="background1" w:themeShade="80"/>
              </w:rPr>
            </w:pPr>
          </w:p>
          <w:p w14:paraId="206FBA46" w14:textId="77777777" w:rsidR="003806D9" w:rsidRDefault="003806D9" w:rsidP="00044044">
            <w:pPr>
              <w:rPr>
                <w:rFonts w:ascii="Arial" w:eastAsia="Times New Roman" w:hAnsi="Arial"/>
                <w:color w:val="808080" w:themeColor="background1" w:themeShade="80"/>
              </w:rPr>
            </w:pPr>
            <w:r w:rsidRPr="0018182B">
              <w:rPr>
                <w:rFonts w:ascii="Arial" w:eastAsia="Times New Roman" w:hAnsi="Arial"/>
                <w:color w:val="808080" w:themeColor="background1" w:themeShade="80"/>
              </w:rPr>
              <w:t xml:space="preserve">Należy ponadto odnotować, że w projektowanym art. 9c </w:t>
            </w:r>
            <w:r>
              <w:rPr>
                <w:rFonts w:ascii="Arial" w:eastAsia="Times New Roman" w:hAnsi="Arial"/>
                <w:color w:val="808080" w:themeColor="background1" w:themeShade="80"/>
              </w:rPr>
              <w:t xml:space="preserve">wskazano </w:t>
            </w:r>
            <w:r w:rsidRPr="0018182B">
              <w:rPr>
                <w:rFonts w:ascii="Arial" w:eastAsia="Times New Roman" w:hAnsi="Arial"/>
                <w:color w:val="808080" w:themeColor="background1" w:themeShade="80"/>
              </w:rPr>
              <w:t>dodatkow</w:t>
            </w:r>
            <w:r>
              <w:rPr>
                <w:rFonts w:ascii="Arial" w:eastAsia="Times New Roman" w:hAnsi="Arial"/>
                <w:color w:val="808080" w:themeColor="background1" w:themeShade="80"/>
              </w:rPr>
              <w:t>y</w:t>
            </w:r>
            <w:r w:rsidRPr="0018182B">
              <w:rPr>
                <w:rFonts w:ascii="Arial" w:eastAsia="Times New Roman" w:hAnsi="Arial"/>
                <w:color w:val="808080" w:themeColor="background1" w:themeShade="80"/>
              </w:rPr>
              <w:t xml:space="preserve"> cel udostępniania</w:t>
            </w:r>
            <w:r>
              <w:rPr>
                <w:rFonts w:ascii="Arial" w:eastAsia="Times New Roman" w:hAnsi="Arial"/>
                <w:color w:val="808080" w:themeColor="background1" w:themeShade="80"/>
              </w:rPr>
              <w:t xml:space="preserve"> niektórych (wymienionych w tym przepisie)</w:t>
            </w:r>
            <w:r w:rsidRPr="0018182B">
              <w:rPr>
                <w:rFonts w:ascii="Arial" w:eastAsia="Times New Roman" w:hAnsi="Arial"/>
                <w:color w:val="808080" w:themeColor="background1" w:themeShade="80"/>
              </w:rPr>
              <w:t xml:space="preserve"> przetwarzan</w:t>
            </w:r>
            <w:r>
              <w:rPr>
                <w:rFonts w:ascii="Arial" w:eastAsia="Times New Roman" w:hAnsi="Arial"/>
                <w:color w:val="808080" w:themeColor="background1" w:themeShade="80"/>
              </w:rPr>
              <w:t>ych</w:t>
            </w:r>
            <w:r w:rsidRPr="0018182B">
              <w:rPr>
                <w:rFonts w:ascii="Arial" w:eastAsia="Times New Roman" w:hAnsi="Arial"/>
                <w:color w:val="808080" w:themeColor="background1" w:themeShade="80"/>
              </w:rPr>
              <w:t xml:space="preserve"> danych osobowych („zapewnienie jawności procesu stanowienia prawa, w tym konsultacji społecznych”). Udostępnianie danych ograniczono czasowo – „do zakończenia kadencji Sejmu, w której prowadzone są prace nad projektem ustawy”. Takie rozwiązanie wydaje się naturalne w świetle zasady dyskontynuacji, a także odpowiada zasadzie „ograniczenia przechowywania” (art. 5 ust. 1 lit. e RODO). Z kolei zakłada się, że treść zgłoszonych uwag, bez danych osobowych uczestnika konsultacji, będzie udostępniana także po zakończeniu kadencji. Warto odnotować, że aktualnie w Systemie Informacyjnym Sejmu udostępniane są informacje o przebiegu prac ustawodawczych we wcześniejszych kadencjach izby.</w:t>
            </w:r>
          </w:p>
          <w:p w14:paraId="21114A10" w14:textId="77777777" w:rsidR="003806D9" w:rsidRDefault="003806D9" w:rsidP="00044044">
            <w:pPr>
              <w:rPr>
                <w:rFonts w:ascii="Arial" w:eastAsia="Times New Roman" w:hAnsi="Arial"/>
                <w:color w:val="808080" w:themeColor="background1" w:themeShade="80"/>
              </w:rPr>
            </w:pPr>
          </w:p>
          <w:p w14:paraId="2F530F12" w14:textId="77777777" w:rsidR="003806D9" w:rsidRDefault="003806D9" w:rsidP="00044044">
            <w:pPr>
              <w:rPr>
                <w:rFonts w:ascii="Aptos" w:eastAsia="Times New Roman" w:hAnsi="Aptos" w:cs="Times New Roman"/>
                <w:color w:val="808080" w:themeColor="background1" w:themeShade="80"/>
              </w:rPr>
            </w:pPr>
            <w:r>
              <w:rPr>
                <w:rFonts w:ascii="Arial" w:eastAsia="Times New Roman" w:hAnsi="Arial"/>
                <w:color w:val="808080" w:themeColor="background1" w:themeShade="80"/>
              </w:rPr>
              <w:t>U</w:t>
            </w:r>
            <w:r w:rsidRPr="00FA0ECB">
              <w:rPr>
                <w:rFonts w:ascii="Arial" w:eastAsia="Times New Roman" w:hAnsi="Arial"/>
                <w:color w:val="808080" w:themeColor="background1" w:themeShade="80"/>
              </w:rPr>
              <w:t>zasadni</w:t>
            </w:r>
            <w:r>
              <w:rPr>
                <w:rFonts w:ascii="Arial" w:eastAsia="Times New Roman" w:hAnsi="Arial"/>
                <w:color w:val="808080" w:themeColor="background1" w:themeShade="80"/>
              </w:rPr>
              <w:t>enie</w:t>
            </w:r>
            <w:r w:rsidRPr="00FA0ECB">
              <w:rPr>
                <w:rFonts w:ascii="Arial" w:eastAsia="Times New Roman" w:hAnsi="Arial"/>
                <w:color w:val="808080" w:themeColor="background1" w:themeShade="80"/>
              </w:rPr>
              <w:t xml:space="preserve"> proponowan</w:t>
            </w:r>
            <w:r>
              <w:rPr>
                <w:rFonts w:ascii="Arial" w:eastAsia="Times New Roman" w:hAnsi="Arial"/>
                <w:color w:val="808080" w:themeColor="background1" w:themeShade="80"/>
              </w:rPr>
              <w:t>ego</w:t>
            </w:r>
            <w:r w:rsidRPr="00FA0ECB">
              <w:rPr>
                <w:rFonts w:ascii="Arial" w:eastAsia="Times New Roman" w:hAnsi="Arial"/>
                <w:color w:val="808080" w:themeColor="background1" w:themeShade="80"/>
              </w:rPr>
              <w:t xml:space="preserve"> termin</w:t>
            </w:r>
            <w:r>
              <w:rPr>
                <w:rFonts w:ascii="Arial" w:eastAsia="Times New Roman" w:hAnsi="Arial"/>
                <w:color w:val="808080" w:themeColor="background1" w:themeShade="80"/>
              </w:rPr>
              <w:t>u</w:t>
            </w:r>
            <w:r w:rsidRPr="00FA0ECB">
              <w:rPr>
                <w:rFonts w:ascii="Arial" w:eastAsia="Times New Roman" w:hAnsi="Arial"/>
                <w:color w:val="808080" w:themeColor="background1" w:themeShade="80"/>
              </w:rPr>
              <w:t xml:space="preserve"> wejścia w życie ustawy oraz projektowan</w:t>
            </w:r>
            <w:r>
              <w:rPr>
                <w:rFonts w:ascii="Arial" w:eastAsia="Times New Roman" w:hAnsi="Arial"/>
                <w:color w:val="808080" w:themeColor="background1" w:themeShade="80"/>
              </w:rPr>
              <w:t>ych</w:t>
            </w:r>
            <w:r w:rsidRPr="00FA0ECB">
              <w:rPr>
                <w:rFonts w:ascii="Arial" w:eastAsia="Times New Roman" w:hAnsi="Arial"/>
                <w:color w:val="808080" w:themeColor="background1" w:themeShade="80"/>
              </w:rPr>
              <w:t xml:space="preserve"> rozwiąza</w:t>
            </w:r>
            <w:r>
              <w:rPr>
                <w:rFonts w:ascii="Arial" w:eastAsia="Times New Roman" w:hAnsi="Arial"/>
                <w:color w:val="808080" w:themeColor="background1" w:themeShade="80"/>
              </w:rPr>
              <w:t>ń</w:t>
            </w:r>
            <w:r w:rsidRPr="00FA0ECB">
              <w:rPr>
                <w:rFonts w:ascii="Arial" w:eastAsia="Times New Roman" w:hAnsi="Arial"/>
                <w:color w:val="808080" w:themeColor="background1" w:themeShade="80"/>
              </w:rPr>
              <w:t xml:space="preserve"> przejściow</w:t>
            </w:r>
            <w:r>
              <w:rPr>
                <w:rFonts w:ascii="Arial" w:eastAsia="Times New Roman" w:hAnsi="Arial"/>
                <w:color w:val="808080" w:themeColor="background1" w:themeShade="80"/>
              </w:rPr>
              <w:t>ych</w:t>
            </w:r>
            <w:r w:rsidRPr="00FA0ECB">
              <w:rPr>
                <w:rFonts w:ascii="Arial" w:eastAsia="Times New Roman" w:hAnsi="Arial"/>
                <w:color w:val="808080" w:themeColor="background1" w:themeShade="80"/>
              </w:rPr>
              <w:t xml:space="preserve"> i dostosowując</w:t>
            </w:r>
            <w:r>
              <w:rPr>
                <w:rFonts w:ascii="Arial" w:eastAsia="Times New Roman" w:hAnsi="Arial"/>
                <w:color w:val="808080" w:themeColor="background1" w:themeShade="80"/>
              </w:rPr>
              <w:t>ych</w:t>
            </w:r>
          </w:p>
          <w:p w14:paraId="2075F56A" w14:textId="77777777" w:rsidR="003806D9" w:rsidRDefault="003806D9" w:rsidP="00044044">
            <w:pPr>
              <w:rPr>
                <w:rFonts w:ascii="Aptos" w:eastAsia="Times New Roman" w:hAnsi="Aptos" w:cs="Times New Roman"/>
                <w:color w:val="808080" w:themeColor="background1" w:themeShade="80"/>
              </w:rPr>
            </w:pPr>
          </w:p>
          <w:p w14:paraId="6854AF1C" w14:textId="77777777" w:rsidR="003806D9" w:rsidRPr="00AE6419" w:rsidRDefault="003806D9" w:rsidP="00044044">
            <w:pPr>
              <w:rPr>
                <w:rFonts w:ascii="Arial" w:eastAsia="Times New Roman" w:hAnsi="Arial"/>
                <w:color w:val="808080" w:themeColor="background1" w:themeShade="80"/>
              </w:rPr>
            </w:pPr>
            <w:r w:rsidRPr="0084488F">
              <w:rPr>
                <w:rFonts w:ascii="Arial" w:eastAsia="Times New Roman" w:hAnsi="Arial"/>
                <w:color w:val="808080" w:themeColor="background1" w:themeShade="80"/>
              </w:rPr>
              <w:t>Przewiduje się wejście w życie projektowanej ustawy przy zachowaniu standardowego, 14-dniowego</w:t>
            </w:r>
            <w:r>
              <w:rPr>
                <w:rFonts w:ascii="Arial" w:eastAsia="Times New Roman" w:hAnsi="Arial"/>
                <w:color w:val="808080" w:themeColor="background1" w:themeShade="80"/>
              </w:rPr>
              <w:t xml:space="preserve"> okresu</w:t>
            </w:r>
            <w:r w:rsidRPr="0084488F">
              <w:rPr>
                <w:rFonts w:ascii="Arial" w:eastAsia="Times New Roman" w:hAnsi="Arial"/>
                <w:color w:val="808080" w:themeColor="background1" w:themeShade="80"/>
              </w:rPr>
              <w:t xml:space="preserve"> </w:t>
            </w:r>
            <w:r w:rsidRPr="0084488F">
              <w:rPr>
                <w:rFonts w:ascii="Arial" w:eastAsia="Times New Roman" w:hAnsi="Arial"/>
                <w:i/>
                <w:iCs/>
                <w:color w:val="808080" w:themeColor="background1" w:themeShade="80"/>
              </w:rPr>
              <w:t>vacatio legis</w:t>
            </w:r>
            <w:r w:rsidRPr="0084488F">
              <w:rPr>
                <w:rFonts w:ascii="Arial" w:eastAsia="Times New Roman" w:hAnsi="Arial"/>
                <w:color w:val="808080" w:themeColor="background1" w:themeShade="80"/>
              </w:rPr>
              <w:t xml:space="preserve">. W praktyce celowe </w:t>
            </w:r>
            <w:r>
              <w:rPr>
                <w:rFonts w:ascii="Arial" w:eastAsia="Times New Roman" w:hAnsi="Arial"/>
                <w:color w:val="808080" w:themeColor="background1" w:themeShade="80"/>
              </w:rPr>
              <w:t>byłoby</w:t>
            </w:r>
            <w:r w:rsidRPr="0084488F">
              <w:rPr>
                <w:rFonts w:ascii="Arial" w:eastAsia="Times New Roman" w:hAnsi="Arial"/>
                <w:color w:val="808080" w:themeColor="background1" w:themeShade="80"/>
              </w:rPr>
              <w:t xml:space="preserve"> przeprowadzenie prac legislacyjnych w taki sposób, aby proponowane przepisy ustawowe mogły wejść w życie w terminie maksymalnie skorelowanym z</w:t>
            </w:r>
            <w:r>
              <w:rPr>
                <w:rFonts w:ascii="Arial" w:eastAsia="Times New Roman" w:hAnsi="Arial"/>
                <w:color w:val="808080" w:themeColor="background1" w:themeShade="80"/>
              </w:rPr>
              <w:t> </w:t>
            </w:r>
            <w:r w:rsidRPr="0084488F">
              <w:rPr>
                <w:rFonts w:ascii="Arial" w:eastAsia="Times New Roman" w:hAnsi="Arial"/>
                <w:color w:val="808080" w:themeColor="background1" w:themeShade="80"/>
              </w:rPr>
              <w:t>terminem wejścia w życie regulaminowych rozwiązań dotyczących konsultacji społecznych projektów ustaw, tj.</w:t>
            </w:r>
            <w:r>
              <w:rPr>
                <w:rFonts w:ascii="Arial" w:eastAsia="Times New Roman" w:hAnsi="Arial"/>
                <w:color w:val="808080" w:themeColor="background1" w:themeShade="80"/>
              </w:rPr>
              <w:t>, jak już wspomniano,</w:t>
            </w:r>
            <w:r w:rsidRPr="0084488F">
              <w:rPr>
                <w:rFonts w:ascii="Arial" w:eastAsia="Times New Roman" w:hAnsi="Arial"/>
                <w:color w:val="808080" w:themeColor="background1" w:themeShade="80"/>
              </w:rPr>
              <w:t xml:space="preserve"> 31 października 2024 r. </w:t>
            </w:r>
          </w:p>
        </w:tc>
      </w:tr>
    </w:tbl>
    <w:p w14:paraId="7A4C5586" w14:textId="77777777" w:rsidR="003806D9" w:rsidRDefault="003806D9" w:rsidP="003806D9">
      <w:pPr>
        <w:rPr>
          <w:rFonts w:ascii="Arial" w:hAnsi="Arial"/>
          <w:sz w:val="24"/>
        </w:rPr>
      </w:pPr>
    </w:p>
    <w:p w14:paraId="5D79EFD0" w14:textId="77777777" w:rsidR="003806D9" w:rsidRPr="009C37AF" w:rsidRDefault="003806D9" w:rsidP="003806D9">
      <w:pPr>
        <w:rPr>
          <w:rFonts w:ascii="Arial" w:hAnsi="Arial"/>
          <w:sz w:val="24"/>
        </w:rPr>
      </w:pPr>
    </w:p>
    <w:p w14:paraId="29F1DB66" w14:textId="77777777" w:rsidR="003806D9" w:rsidRDefault="003806D9" w:rsidP="003806D9">
      <w:pPr>
        <w:rPr>
          <w:rFonts w:ascii="Arial" w:hAnsi="Arial"/>
          <w:sz w:val="24"/>
        </w:rPr>
      </w:pPr>
      <w:r w:rsidRPr="009C37AF">
        <w:rPr>
          <w:rFonts w:ascii="Arial" w:hAnsi="Arial"/>
          <w:sz w:val="24"/>
        </w:rPr>
        <w:t xml:space="preserve">[4] Jakie są </w:t>
      </w:r>
      <w:bookmarkStart w:id="2" w:name="_Hlk174443131"/>
      <w:r>
        <w:rPr>
          <w:rFonts w:ascii="Arial" w:hAnsi="Arial"/>
          <w:sz w:val="24"/>
        </w:rPr>
        <w:t>przewidywane</w:t>
      </w:r>
      <w:bookmarkEnd w:id="2"/>
      <w:r w:rsidRPr="009C37AF">
        <w:rPr>
          <w:rFonts w:ascii="Arial" w:hAnsi="Arial"/>
          <w:sz w:val="24"/>
        </w:rPr>
        <w:t xml:space="preserve"> skutki społeczne projektowanych rozwiązań?</w:t>
      </w:r>
    </w:p>
    <w:p w14:paraId="3E7AB3EB" w14:textId="77777777" w:rsidR="003806D9" w:rsidRDefault="003806D9" w:rsidP="003806D9">
      <w:pPr>
        <w:rPr>
          <w:rFonts w:ascii="Arial" w:hAnsi="Arial"/>
          <w:sz w:val="24"/>
        </w:rPr>
      </w:pPr>
    </w:p>
    <w:tbl>
      <w:tblPr>
        <w:tblStyle w:val="Tabela-Siatka"/>
        <w:tblW w:w="0" w:type="auto"/>
        <w:tblLook w:val="04A0" w:firstRow="1" w:lastRow="0" w:firstColumn="1" w:lastColumn="0" w:noHBand="0" w:noVBand="1"/>
      </w:tblPr>
      <w:tblGrid>
        <w:gridCol w:w="9060"/>
      </w:tblGrid>
      <w:tr w:rsidR="003806D9" w:rsidRPr="00E91DF0" w14:paraId="190322A3" w14:textId="77777777" w:rsidTr="00044044">
        <w:tc>
          <w:tcPr>
            <w:tcW w:w="9062" w:type="dxa"/>
          </w:tcPr>
          <w:p w14:paraId="04550C60" w14:textId="77777777" w:rsidR="003806D9" w:rsidRDefault="003806D9" w:rsidP="00044044">
            <w:pPr>
              <w:rPr>
                <w:rFonts w:ascii="Arial" w:hAnsi="Arial"/>
                <w:color w:val="808080" w:themeColor="background1" w:themeShade="80"/>
              </w:rPr>
            </w:pPr>
            <w:r>
              <w:rPr>
                <w:rFonts w:ascii="Arial" w:hAnsi="Arial"/>
                <w:color w:val="808080" w:themeColor="background1" w:themeShade="80"/>
              </w:rPr>
              <w:t>Podmioty, na które oddziałuje projekt</w:t>
            </w:r>
          </w:p>
          <w:p w14:paraId="4DC875B9" w14:textId="77777777" w:rsidR="003806D9" w:rsidRDefault="003806D9" w:rsidP="00044044">
            <w:pPr>
              <w:rPr>
                <w:rFonts w:ascii="Arial" w:hAnsi="Arial"/>
                <w:color w:val="808080" w:themeColor="background1" w:themeShade="80"/>
              </w:rPr>
            </w:pPr>
          </w:p>
          <w:p w14:paraId="1E59128D" w14:textId="77777777" w:rsidR="003806D9" w:rsidRDefault="003806D9" w:rsidP="00044044">
            <w:pPr>
              <w:rPr>
                <w:rFonts w:ascii="Arial" w:hAnsi="Arial"/>
                <w:color w:val="808080" w:themeColor="background1" w:themeShade="80"/>
              </w:rPr>
            </w:pPr>
            <w:r>
              <w:rPr>
                <w:rFonts w:ascii="Arial" w:hAnsi="Arial"/>
                <w:color w:val="808080" w:themeColor="background1" w:themeShade="80"/>
              </w:rPr>
              <w:t>Projekt zakłada wprowadzenie ustawowych przepisów dopełniających wykreowaną przepisami Regulaminu Sejmu nową instytucję prawną konsultacji projektów ustaw. Uwzględniając (stosunkowo wąski) zakres regulacji niniejszego projektu, należy uznać, że proponowane przepisy oddziałują na:</w:t>
            </w:r>
          </w:p>
          <w:p w14:paraId="5A29649E" w14:textId="77777777" w:rsidR="003806D9" w:rsidRDefault="003806D9" w:rsidP="00044044">
            <w:pPr>
              <w:rPr>
                <w:rFonts w:ascii="Arial" w:hAnsi="Arial"/>
                <w:color w:val="808080" w:themeColor="background1" w:themeShade="80"/>
              </w:rPr>
            </w:pPr>
            <w:r>
              <w:rPr>
                <w:rFonts w:ascii="Arial" w:hAnsi="Arial"/>
                <w:color w:val="808080" w:themeColor="background1" w:themeShade="80"/>
              </w:rPr>
              <w:t>- przyszłych uczestników konsultacji społecznych (</w:t>
            </w:r>
            <w:r w:rsidRPr="00F70A1C">
              <w:rPr>
                <w:rFonts w:ascii="Arial" w:hAnsi="Arial"/>
                <w:color w:val="808080" w:themeColor="background1" w:themeShade="80"/>
              </w:rPr>
              <w:t>osob</w:t>
            </w:r>
            <w:r>
              <w:rPr>
                <w:rFonts w:ascii="Arial" w:hAnsi="Arial"/>
                <w:color w:val="808080" w:themeColor="background1" w:themeShade="80"/>
              </w:rPr>
              <w:t>y</w:t>
            </w:r>
            <w:r w:rsidRPr="00F70A1C">
              <w:rPr>
                <w:rFonts w:ascii="Arial" w:hAnsi="Arial"/>
                <w:color w:val="808080" w:themeColor="background1" w:themeShade="80"/>
              </w:rPr>
              <w:t xml:space="preserve"> fizyczn</w:t>
            </w:r>
            <w:r>
              <w:rPr>
                <w:rFonts w:ascii="Arial" w:hAnsi="Arial"/>
                <w:color w:val="808080" w:themeColor="background1" w:themeShade="80"/>
              </w:rPr>
              <w:t>e</w:t>
            </w:r>
            <w:r w:rsidRPr="00F70A1C">
              <w:rPr>
                <w:rFonts w:ascii="Arial" w:hAnsi="Arial"/>
                <w:color w:val="808080" w:themeColor="background1" w:themeShade="80"/>
              </w:rPr>
              <w:t xml:space="preserve"> </w:t>
            </w:r>
            <w:r>
              <w:rPr>
                <w:rFonts w:ascii="Arial" w:hAnsi="Arial"/>
                <w:color w:val="808080" w:themeColor="background1" w:themeShade="80"/>
              </w:rPr>
              <w:t xml:space="preserve">zgłaszające uwagi w ramach konsultacji </w:t>
            </w:r>
            <w:r w:rsidRPr="00F70A1C">
              <w:rPr>
                <w:rFonts w:ascii="Arial" w:hAnsi="Arial"/>
                <w:color w:val="808080" w:themeColor="background1" w:themeShade="80"/>
              </w:rPr>
              <w:t>we własnym imieniu albo na rzecz osoby prawnej lub podmiotu innego niż osoba prawna</w:t>
            </w:r>
            <w:r>
              <w:rPr>
                <w:rFonts w:ascii="Arial" w:hAnsi="Arial"/>
                <w:color w:val="808080" w:themeColor="background1" w:themeShade="80"/>
              </w:rPr>
              <w:t>, projektowany art. 9a ust. 3 ustawy),</w:t>
            </w:r>
          </w:p>
          <w:p w14:paraId="0105E07D" w14:textId="77777777" w:rsidR="003806D9" w:rsidRDefault="003806D9" w:rsidP="00044044">
            <w:pPr>
              <w:rPr>
                <w:rFonts w:ascii="Arial" w:hAnsi="Arial"/>
                <w:color w:val="808080" w:themeColor="background1" w:themeShade="80"/>
              </w:rPr>
            </w:pPr>
            <w:r>
              <w:rPr>
                <w:rFonts w:ascii="Arial" w:hAnsi="Arial"/>
                <w:color w:val="808080" w:themeColor="background1" w:themeShade="80"/>
              </w:rPr>
              <w:t>- Kancelarię Sejmu, w szczególności z uwagi na fakt, iż w projektowanym art. 9d ustawy została wskazana jako administrator przetwarzanych danych osobowych.</w:t>
            </w:r>
          </w:p>
          <w:p w14:paraId="610DAD1D" w14:textId="77777777" w:rsidR="003806D9" w:rsidRDefault="003806D9" w:rsidP="00044044">
            <w:pPr>
              <w:rPr>
                <w:rFonts w:ascii="Arial" w:hAnsi="Arial"/>
                <w:color w:val="808080" w:themeColor="background1" w:themeShade="80"/>
              </w:rPr>
            </w:pPr>
          </w:p>
          <w:p w14:paraId="64B72573" w14:textId="77777777" w:rsidR="003806D9" w:rsidRDefault="003806D9" w:rsidP="00044044">
            <w:pPr>
              <w:rPr>
                <w:rFonts w:ascii="Arial" w:hAnsi="Arial"/>
                <w:color w:val="808080" w:themeColor="background1" w:themeShade="80"/>
              </w:rPr>
            </w:pPr>
            <w:r>
              <w:rPr>
                <w:rFonts w:ascii="Arial" w:hAnsi="Arial"/>
                <w:color w:val="808080" w:themeColor="background1" w:themeShade="80"/>
              </w:rPr>
              <w:t>Pozostałe uwagi dotyczące skutków społecznych projektu</w:t>
            </w:r>
          </w:p>
          <w:p w14:paraId="6124868A" w14:textId="77777777" w:rsidR="003806D9" w:rsidRDefault="003806D9" w:rsidP="00044044">
            <w:pPr>
              <w:rPr>
                <w:rFonts w:ascii="Arial" w:hAnsi="Arial"/>
                <w:color w:val="808080" w:themeColor="background1" w:themeShade="80"/>
              </w:rPr>
            </w:pPr>
          </w:p>
          <w:p w14:paraId="514A4D33" w14:textId="77777777" w:rsidR="003806D9" w:rsidRDefault="003806D9" w:rsidP="00044044">
            <w:pPr>
              <w:rPr>
                <w:rFonts w:ascii="Arial" w:hAnsi="Arial"/>
                <w:color w:val="808080" w:themeColor="background1" w:themeShade="80"/>
              </w:rPr>
            </w:pPr>
            <w:r>
              <w:rPr>
                <w:rFonts w:ascii="Arial" w:hAnsi="Arial"/>
                <w:color w:val="808080" w:themeColor="background1" w:themeShade="80"/>
              </w:rPr>
              <w:t>Podstawowym skutkiem społecznym określenia w przepisach projektu szerokiego zakresu podmiotowego prawa do udziału w konsultacjach społecznych będzie pozytywny wpływ proponowanych przepisów na aktywność obywatelską poprzez wprowadzenie nowej, w zasadzie powszechnie dostępnej formy partycypacji społecznej w postępowaniu ustawodawczym. Spodziewane znaczne zainteresowanie udziałem w konsultacjach (zob. niżej) może przyczynić się do wzrostu świadomości prawnej społeczeństwa poprzez zachęcenie, dzięki łatwemu dostępowi do udziału w konsultacjach, do zapoznawania się z tekstami prawnymi przez osoby, które jak dotąd nie wykazywały takiego zainteresowania. Ponadto uczestnicząc w konsultacjach osoby należące do poszczególnych grup społecznych będą mogły artykułować swoje interesy, zapewne efektywniej niż z wykorzystaniem obecnie dostępnych rozwiązań (np. prawa petycji). Jawność procesu konsultacyjnego uwidoczni przy tym poziom mobilizacji społecznej w zakresie woli oddziaływania na treść ustawowych regulacji dotyczących różnych dziedzin życia.</w:t>
            </w:r>
          </w:p>
          <w:p w14:paraId="2A807B0A" w14:textId="77777777" w:rsidR="003806D9" w:rsidRDefault="003806D9" w:rsidP="00044044">
            <w:pPr>
              <w:rPr>
                <w:rFonts w:ascii="Arial" w:hAnsi="Arial"/>
                <w:color w:val="808080" w:themeColor="background1" w:themeShade="80"/>
              </w:rPr>
            </w:pPr>
          </w:p>
          <w:p w14:paraId="1DFCFC7C" w14:textId="77777777" w:rsidR="003806D9" w:rsidRDefault="003806D9" w:rsidP="00044044">
            <w:pPr>
              <w:rPr>
                <w:rFonts w:ascii="Arial" w:hAnsi="Arial"/>
                <w:color w:val="808080" w:themeColor="background1" w:themeShade="80"/>
              </w:rPr>
            </w:pPr>
            <w:r>
              <w:rPr>
                <w:rFonts w:ascii="Arial" w:hAnsi="Arial"/>
                <w:color w:val="808080" w:themeColor="background1" w:themeShade="80"/>
              </w:rPr>
              <w:t xml:space="preserve">Niezależnie od powyższego nie ulega wątpliwości, że projektowany szeroki dostęp do konsultacji społecznych umożliwi pozyskanie wiedzy o charakterze eksperckim. Należy przy tym odnotować, że przyjętym w ww. uchwale Sejmu z 26 lipca 2024 r. art. 34 ust. 9a Regulaminu Sejmu (którego wejście w życie przewidziano na 31 października 2024 r.) </w:t>
            </w:r>
            <w:r w:rsidRPr="00913BFE">
              <w:rPr>
                <w:rFonts w:ascii="Arial" w:hAnsi="Arial"/>
                <w:i/>
                <w:iCs/>
                <w:color w:val="808080" w:themeColor="background1" w:themeShade="80"/>
              </w:rPr>
              <w:t>expressis verbis</w:t>
            </w:r>
            <w:r>
              <w:rPr>
                <w:rFonts w:ascii="Arial" w:hAnsi="Arial"/>
                <w:color w:val="808080" w:themeColor="background1" w:themeShade="80"/>
              </w:rPr>
              <w:t xml:space="preserve"> przewiduje się, że w przygotowywanej w Kancelarii Sejmu opinii </w:t>
            </w:r>
            <w:r w:rsidRPr="00913BFE">
              <w:rPr>
                <w:rFonts w:ascii="Arial" w:hAnsi="Arial"/>
                <w:color w:val="808080" w:themeColor="background1" w:themeShade="80"/>
              </w:rPr>
              <w:t xml:space="preserve">w sprawie oceny skutków regulacji wniesionego </w:t>
            </w:r>
            <w:r w:rsidRPr="00913BFE">
              <w:rPr>
                <w:rFonts w:ascii="Arial" w:hAnsi="Arial"/>
                <w:color w:val="808080" w:themeColor="background1" w:themeShade="80"/>
              </w:rPr>
              <w:lastRenderedPageBreak/>
              <w:t>projektu ustawy</w:t>
            </w:r>
            <w:r>
              <w:t xml:space="preserve"> </w:t>
            </w:r>
            <w:r w:rsidRPr="00913BFE">
              <w:rPr>
                <w:rFonts w:ascii="Arial" w:hAnsi="Arial"/>
                <w:color w:val="808080" w:themeColor="background1" w:themeShade="80"/>
              </w:rPr>
              <w:t>uwzględnia się również analizę uwag zgłoszonych w ramach konsultacji społecznych</w:t>
            </w:r>
            <w:r>
              <w:rPr>
                <w:rFonts w:ascii="Arial" w:hAnsi="Arial"/>
                <w:color w:val="808080" w:themeColor="background1" w:themeShade="80"/>
              </w:rPr>
              <w:t xml:space="preserve">. Ułatwieniu naukowej analizy samego procesu konsultacyjnego służy natomiast wspomniane już (zob. pkt 3 formularza) </w:t>
            </w:r>
            <w:r w:rsidRPr="00913BFE">
              <w:rPr>
                <w:rFonts w:ascii="Arial" w:hAnsi="Arial"/>
                <w:color w:val="808080" w:themeColor="background1" w:themeShade="80"/>
              </w:rPr>
              <w:t>umożliw</w:t>
            </w:r>
            <w:r>
              <w:rPr>
                <w:rFonts w:ascii="Arial" w:hAnsi="Arial"/>
                <w:color w:val="808080" w:themeColor="background1" w:themeShade="80"/>
              </w:rPr>
              <w:t>ienie</w:t>
            </w:r>
            <w:r w:rsidRPr="00913BFE">
              <w:rPr>
                <w:rFonts w:ascii="Arial" w:hAnsi="Arial"/>
                <w:color w:val="808080" w:themeColor="background1" w:themeShade="80"/>
              </w:rPr>
              <w:t xml:space="preserve"> przetwarzani</w:t>
            </w:r>
            <w:r>
              <w:rPr>
                <w:rFonts w:ascii="Arial" w:hAnsi="Arial"/>
                <w:color w:val="808080" w:themeColor="background1" w:themeShade="80"/>
              </w:rPr>
              <w:t>a</w:t>
            </w:r>
            <w:r w:rsidRPr="00913BFE">
              <w:rPr>
                <w:rFonts w:ascii="Arial" w:hAnsi="Arial"/>
                <w:color w:val="808080" w:themeColor="background1" w:themeShade="80"/>
              </w:rPr>
              <w:t xml:space="preserve"> wymienionych w tym przepisie danych osobowych do celów statystycznych</w:t>
            </w:r>
            <w:r>
              <w:rPr>
                <w:rFonts w:ascii="Arial" w:hAnsi="Arial"/>
                <w:color w:val="808080" w:themeColor="background1" w:themeShade="80"/>
              </w:rPr>
              <w:t xml:space="preserve"> (projektowany art. 9d ustawy).</w:t>
            </w:r>
          </w:p>
          <w:p w14:paraId="0D6EF053" w14:textId="77777777" w:rsidR="003806D9" w:rsidRDefault="003806D9" w:rsidP="00044044">
            <w:pPr>
              <w:rPr>
                <w:rFonts w:ascii="Arial" w:hAnsi="Arial"/>
                <w:color w:val="808080" w:themeColor="background1" w:themeShade="80"/>
              </w:rPr>
            </w:pPr>
          </w:p>
          <w:p w14:paraId="74065A5E" w14:textId="77777777" w:rsidR="003806D9" w:rsidRDefault="003806D9" w:rsidP="00044044">
            <w:pPr>
              <w:rPr>
                <w:rFonts w:ascii="Arial" w:hAnsi="Arial"/>
                <w:color w:val="808080" w:themeColor="background1" w:themeShade="80"/>
              </w:rPr>
            </w:pPr>
            <w:r>
              <w:rPr>
                <w:rFonts w:ascii="Arial" w:hAnsi="Arial"/>
                <w:color w:val="808080" w:themeColor="background1" w:themeShade="80"/>
              </w:rPr>
              <w:t xml:space="preserve">Z uwagi na precedensowość proponowanych rozwiązań (utworzenie instytucji prawnej, która nie występowała w polskim prawie parlamentarnym), nie jest możliwe oszacowanie skali zainteresowania społeczeństwa udziałem w projektowanych konsultacjach społecznych. Można jednak sformułować pewne przewidywania na podstawie danych dotyczących zbieżnych form partycypacji społecznej w tworzeniu prawa. Po pierwsze, zawarte w Systemie Informacyjnym Sejmu (SIS) informacje dokumentujące zainteresowanie udziałem w </w:t>
            </w:r>
            <w:proofErr w:type="spellStart"/>
            <w:r>
              <w:rPr>
                <w:rFonts w:ascii="Arial" w:hAnsi="Arial"/>
                <w:color w:val="808080" w:themeColor="background1" w:themeShade="80"/>
              </w:rPr>
              <w:t>wysłuchaniach</w:t>
            </w:r>
            <w:proofErr w:type="spellEnd"/>
            <w:r>
              <w:rPr>
                <w:rFonts w:ascii="Arial" w:hAnsi="Arial"/>
                <w:color w:val="808080" w:themeColor="background1" w:themeShade="80"/>
              </w:rPr>
              <w:t xml:space="preserve"> publicznych przeprowadzonych w toku obecnej (X) kadencji Sejmu (do dnia 11 września 2024 r. przeprowadzono cztery wysłuchania publicznej) wskazują, że zainteresowanie udziałem w tych </w:t>
            </w:r>
            <w:proofErr w:type="spellStart"/>
            <w:r>
              <w:rPr>
                <w:rFonts w:ascii="Arial" w:hAnsi="Arial"/>
                <w:color w:val="808080" w:themeColor="background1" w:themeShade="80"/>
              </w:rPr>
              <w:t>wysłuchaniach</w:t>
            </w:r>
            <w:proofErr w:type="spellEnd"/>
            <w:r>
              <w:rPr>
                <w:rFonts w:ascii="Arial" w:hAnsi="Arial"/>
                <w:color w:val="808080" w:themeColor="background1" w:themeShade="80"/>
              </w:rPr>
              <w:t xml:space="preserve"> zgłosiło od 6 (wysłuchanie publicznej dotyczące r</w:t>
            </w:r>
            <w:r w:rsidRPr="00EA7429">
              <w:rPr>
                <w:rFonts w:ascii="Arial" w:hAnsi="Arial"/>
                <w:color w:val="808080" w:themeColor="background1" w:themeShade="80"/>
              </w:rPr>
              <w:t>ządow</w:t>
            </w:r>
            <w:r>
              <w:rPr>
                <w:rFonts w:ascii="Arial" w:hAnsi="Arial"/>
                <w:color w:val="808080" w:themeColor="background1" w:themeShade="80"/>
              </w:rPr>
              <w:t>ego</w:t>
            </w:r>
            <w:r w:rsidRPr="00EA7429">
              <w:rPr>
                <w:rFonts w:ascii="Arial" w:hAnsi="Arial"/>
                <w:color w:val="808080" w:themeColor="background1" w:themeShade="80"/>
              </w:rPr>
              <w:t xml:space="preserve"> projekt</w:t>
            </w:r>
            <w:r>
              <w:rPr>
                <w:rFonts w:ascii="Arial" w:hAnsi="Arial"/>
                <w:color w:val="808080" w:themeColor="background1" w:themeShade="80"/>
              </w:rPr>
              <w:t>u</w:t>
            </w:r>
            <w:r w:rsidRPr="00EA7429">
              <w:rPr>
                <w:rFonts w:ascii="Arial" w:hAnsi="Arial"/>
                <w:color w:val="808080" w:themeColor="background1" w:themeShade="80"/>
              </w:rPr>
              <w:t xml:space="preserve"> ustawy o ratyfikacji Umowy między Rządem Rzeczypospolitej Polskiej a Organizacją Narodów Zjednoczonych w sprawie utworzenia Przedstawicielstwa Biura Narodów Zjednoczonych do spraw Obsługi Projektów w Warszawie, podpisanej w Nowym Jorku dnia 21 września 2023 r.</w:t>
            </w:r>
            <w:r>
              <w:rPr>
                <w:rFonts w:ascii="Arial" w:hAnsi="Arial"/>
                <w:color w:val="808080" w:themeColor="background1" w:themeShade="80"/>
              </w:rPr>
              <w:t>, druk nr 276) do 367 osób (wysłuchanie publiczne dotyczące p</w:t>
            </w:r>
            <w:r w:rsidRPr="00EA7429">
              <w:rPr>
                <w:rFonts w:ascii="Arial" w:hAnsi="Arial"/>
                <w:color w:val="808080" w:themeColor="background1" w:themeShade="80"/>
              </w:rPr>
              <w:t>oselski</w:t>
            </w:r>
            <w:r>
              <w:rPr>
                <w:rFonts w:ascii="Arial" w:hAnsi="Arial"/>
                <w:color w:val="808080" w:themeColor="background1" w:themeShade="80"/>
              </w:rPr>
              <w:t>ch</w:t>
            </w:r>
            <w:r w:rsidRPr="00EA7429">
              <w:rPr>
                <w:rFonts w:ascii="Arial" w:hAnsi="Arial"/>
                <w:color w:val="808080" w:themeColor="background1" w:themeShade="80"/>
              </w:rPr>
              <w:t xml:space="preserve"> projekt</w:t>
            </w:r>
            <w:r>
              <w:rPr>
                <w:rFonts w:ascii="Arial" w:hAnsi="Arial"/>
                <w:color w:val="808080" w:themeColor="background1" w:themeShade="80"/>
              </w:rPr>
              <w:t>ów</w:t>
            </w:r>
            <w:r w:rsidRPr="00EA7429">
              <w:rPr>
                <w:rFonts w:ascii="Arial" w:hAnsi="Arial"/>
                <w:color w:val="808080" w:themeColor="background1" w:themeShade="80"/>
              </w:rPr>
              <w:t xml:space="preserve"> ustaw: o zmianie ustawy </w:t>
            </w:r>
            <w:r>
              <w:rPr>
                <w:rFonts w:ascii="Arial" w:hAnsi="Arial"/>
                <w:color w:val="808080" w:themeColor="background1" w:themeShade="80"/>
              </w:rPr>
              <w:t>–</w:t>
            </w:r>
            <w:r w:rsidRPr="00EA7429">
              <w:rPr>
                <w:rFonts w:ascii="Arial" w:hAnsi="Arial"/>
                <w:color w:val="808080" w:themeColor="background1" w:themeShade="80"/>
              </w:rPr>
              <w:t xml:space="preserve"> Kodeks karny (druk nr 176), o</w:t>
            </w:r>
            <w:r>
              <w:rPr>
                <w:rFonts w:ascii="Arial" w:hAnsi="Arial"/>
                <w:color w:val="808080" w:themeColor="background1" w:themeShade="80"/>
              </w:rPr>
              <w:t> </w:t>
            </w:r>
            <w:r w:rsidRPr="00EA7429">
              <w:rPr>
                <w:rFonts w:ascii="Arial" w:hAnsi="Arial"/>
                <w:color w:val="808080" w:themeColor="background1" w:themeShade="80"/>
              </w:rPr>
              <w:t>bezpiecznym przerywaniu ciąży (druk nr 177), o zmianie ustawy o planowaniu rodziny, ochronie płodu ludzkiego i warunkach dopuszczalności przerywania ciąży (druk nr 223), o świadomym rodzicielstwie (druk nr 224)</w:t>
            </w:r>
            <w:r>
              <w:rPr>
                <w:rFonts w:ascii="Arial" w:hAnsi="Arial"/>
                <w:color w:val="808080" w:themeColor="background1" w:themeShade="80"/>
              </w:rPr>
              <w:t xml:space="preserve">. Po drugie, można zwrócić uwagę na dane dotyczące liczby petycji kierowanych do Sejmu, gdyż korzystanie z tego uprawnienia, tak jak wzięcie udziału w projektowanych konsultacjach społecznych, nie jest obwarowane trudnymi do spełnienia wymogami formalnymi. Z ogólnodostępnych danych wynika, że liczba petycji kierowanych do Sejmu jest znacząco wyższa niż kierowanych do innych organów konstytucyjnych. Przykładowo w toku obecnej kadencji Sejmu, od 13 listopada 2023 r. do 11 września 2024 r., złożono do Sejmu 224 petycje (źródło: SIS), podczas gdy do: Senatu 84 petycje (źródło: </w:t>
            </w:r>
            <w:r w:rsidRPr="00835629">
              <w:rPr>
                <w:rFonts w:ascii="Arial" w:hAnsi="Arial"/>
                <w:color w:val="808080" w:themeColor="background1" w:themeShade="80"/>
              </w:rPr>
              <w:t>https://www.senat.gov.pl/prace/petycje/wykaz-tematow-petycji/pozostale.html?pp=100</w:t>
            </w:r>
            <w:r>
              <w:rPr>
                <w:rFonts w:ascii="Arial" w:hAnsi="Arial"/>
                <w:color w:val="808080" w:themeColor="background1" w:themeShade="80"/>
              </w:rPr>
              <w:t>), a do Prezydenta Rzeczypospolitej 45 petycji (dane za 2024 r., źródło:</w:t>
            </w:r>
            <w:r>
              <w:t xml:space="preserve"> </w:t>
            </w:r>
            <w:r w:rsidRPr="00835629">
              <w:rPr>
                <w:rFonts w:ascii="Arial" w:hAnsi="Arial"/>
                <w:color w:val="808080" w:themeColor="background1" w:themeShade="80"/>
              </w:rPr>
              <w:t>https://www.prezydent.pl/bip/petycje/petycje-2024/page,1,45</w:t>
            </w:r>
            <w:r>
              <w:rPr>
                <w:rFonts w:ascii="Arial" w:hAnsi="Arial"/>
                <w:color w:val="808080" w:themeColor="background1" w:themeShade="80"/>
              </w:rPr>
              <w:t>). Co więcej, liczba petycji złożonych w Sejmie wykazuje tendencję rosnącą. O ile w toku VIII kadencji Sejmu (2015-2019) do Sejmu przekazano 576 petycji, podczas kadencji IX (2019-2023) – 786, to, jak wspomniano, od rozpoczęcia kadencji obecnej (tj. przez ok. 10 miesięcy) już 224 (źródło: SIS).</w:t>
            </w:r>
          </w:p>
          <w:p w14:paraId="32C5CD86" w14:textId="77777777" w:rsidR="003806D9" w:rsidRDefault="003806D9" w:rsidP="00044044">
            <w:pPr>
              <w:rPr>
                <w:rFonts w:ascii="Arial" w:hAnsi="Arial"/>
                <w:color w:val="808080" w:themeColor="background1" w:themeShade="80"/>
              </w:rPr>
            </w:pPr>
          </w:p>
          <w:p w14:paraId="696A4D71" w14:textId="77777777" w:rsidR="003806D9" w:rsidRDefault="003806D9" w:rsidP="00044044">
            <w:pPr>
              <w:rPr>
                <w:rFonts w:ascii="Arial" w:hAnsi="Arial"/>
                <w:color w:val="808080" w:themeColor="background1" w:themeShade="80"/>
              </w:rPr>
            </w:pPr>
            <w:r>
              <w:rPr>
                <w:rFonts w:ascii="Arial" w:hAnsi="Arial"/>
                <w:color w:val="808080" w:themeColor="background1" w:themeShade="80"/>
              </w:rPr>
              <w:t xml:space="preserve">Przywołanie praktyki dotyczącej </w:t>
            </w:r>
            <w:proofErr w:type="spellStart"/>
            <w:r>
              <w:rPr>
                <w:rFonts w:ascii="Arial" w:hAnsi="Arial"/>
                <w:color w:val="808080" w:themeColor="background1" w:themeShade="80"/>
              </w:rPr>
              <w:t>wysłuchań</w:t>
            </w:r>
            <w:proofErr w:type="spellEnd"/>
            <w:r>
              <w:rPr>
                <w:rFonts w:ascii="Arial" w:hAnsi="Arial"/>
                <w:color w:val="808080" w:themeColor="background1" w:themeShade="80"/>
              </w:rPr>
              <w:t xml:space="preserve"> publicznych w Sejmie oraz wykonywania prawa petycji (w zakresie dotyczącym Sejmu) prowadzi do wniosku, że zainteresowanie udziałem konsultacji społecznych będzie:</w:t>
            </w:r>
          </w:p>
          <w:p w14:paraId="2E29D7FF" w14:textId="77777777" w:rsidR="003806D9" w:rsidRDefault="003806D9" w:rsidP="00044044">
            <w:pPr>
              <w:rPr>
                <w:rFonts w:ascii="Arial" w:hAnsi="Arial"/>
                <w:color w:val="808080" w:themeColor="background1" w:themeShade="80"/>
              </w:rPr>
            </w:pPr>
            <w:r>
              <w:rPr>
                <w:rFonts w:ascii="Arial" w:hAnsi="Arial"/>
                <w:color w:val="808080" w:themeColor="background1" w:themeShade="80"/>
              </w:rPr>
              <w:t>a) zróżnicowane, zapewne zależąc od doniosłości społecznej regulowanej materii;</w:t>
            </w:r>
          </w:p>
          <w:p w14:paraId="1650135A" w14:textId="77777777" w:rsidR="003806D9" w:rsidRPr="00AA5FA8" w:rsidRDefault="003806D9" w:rsidP="00044044">
            <w:pPr>
              <w:rPr>
                <w:rFonts w:ascii="Arial" w:hAnsi="Arial"/>
                <w:color w:val="808080" w:themeColor="background1" w:themeShade="80"/>
              </w:rPr>
            </w:pPr>
            <w:r>
              <w:rPr>
                <w:rFonts w:ascii="Arial" w:hAnsi="Arial"/>
                <w:color w:val="808080" w:themeColor="background1" w:themeShade="80"/>
              </w:rPr>
              <w:t>b) co do zasady znaczne, z uwagi na łatwość zgłoszenia uwag w ramach konsultacji.</w:t>
            </w:r>
          </w:p>
        </w:tc>
      </w:tr>
    </w:tbl>
    <w:p w14:paraId="285490DF" w14:textId="77777777" w:rsidR="003806D9" w:rsidRDefault="003806D9" w:rsidP="003806D9">
      <w:pPr>
        <w:rPr>
          <w:rFonts w:ascii="Arial" w:hAnsi="Arial"/>
          <w:sz w:val="24"/>
        </w:rPr>
      </w:pPr>
    </w:p>
    <w:p w14:paraId="4F4683B1" w14:textId="77777777" w:rsidR="003806D9" w:rsidRDefault="003806D9" w:rsidP="003806D9">
      <w:pPr>
        <w:rPr>
          <w:rFonts w:ascii="Arial" w:hAnsi="Arial"/>
          <w:sz w:val="24"/>
        </w:rPr>
      </w:pPr>
    </w:p>
    <w:p w14:paraId="5F36FE7B" w14:textId="77777777" w:rsidR="003806D9" w:rsidRDefault="003806D9" w:rsidP="003806D9">
      <w:pPr>
        <w:rPr>
          <w:rFonts w:ascii="Arial" w:hAnsi="Arial"/>
          <w:sz w:val="24"/>
        </w:rPr>
      </w:pPr>
      <w:r w:rsidRPr="009C37AF">
        <w:rPr>
          <w:rFonts w:ascii="Arial" w:hAnsi="Arial"/>
          <w:sz w:val="24"/>
        </w:rPr>
        <w:t xml:space="preserve">[5] Jakie są </w:t>
      </w:r>
      <w:r>
        <w:rPr>
          <w:rFonts w:ascii="Arial" w:hAnsi="Arial"/>
          <w:sz w:val="24"/>
        </w:rPr>
        <w:t>przewidywane</w:t>
      </w:r>
      <w:r w:rsidRPr="009C37AF">
        <w:rPr>
          <w:rFonts w:ascii="Arial" w:hAnsi="Arial"/>
          <w:sz w:val="24"/>
        </w:rPr>
        <w:t xml:space="preserve"> skutki gospodarcze projektowanych rozwiązań?</w:t>
      </w:r>
    </w:p>
    <w:p w14:paraId="5BCDA513" w14:textId="77777777" w:rsidR="003806D9" w:rsidRDefault="003806D9" w:rsidP="003806D9">
      <w:pPr>
        <w:rPr>
          <w:rFonts w:ascii="Arial" w:hAnsi="Arial"/>
          <w:sz w:val="24"/>
        </w:rPr>
      </w:pPr>
    </w:p>
    <w:p w14:paraId="7B42B56C" w14:textId="77777777" w:rsidR="003806D9" w:rsidRDefault="003806D9" w:rsidP="003806D9">
      <w:pPr>
        <w:pBdr>
          <w:top w:val="single" w:sz="4" w:space="1" w:color="auto"/>
          <w:left w:val="single" w:sz="4" w:space="0" w:color="auto"/>
          <w:bottom w:val="single" w:sz="4" w:space="1" w:color="auto"/>
          <w:right w:val="single" w:sz="4" w:space="4" w:color="auto"/>
        </w:pBdr>
        <w:rPr>
          <w:rFonts w:ascii="Arial" w:hAnsi="Arial"/>
          <w:color w:val="808080" w:themeColor="background1" w:themeShade="80"/>
        </w:rPr>
      </w:pPr>
      <w:r>
        <w:rPr>
          <w:rFonts w:ascii="Arial" w:hAnsi="Arial"/>
          <w:color w:val="808080" w:themeColor="background1" w:themeShade="80"/>
        </w:rPr>
        <w:t>W sprawie podmiotów, na które oddziałuje projekt, zob. pkt 4 formularza.</w:t>
      </w:r>
    </w:p>
    <w:p w14:paraId="4936E32D" w14:textId="77777777" w:rsidR="003806D9" w:rsidRDefault="003806D9" w:rsidP="003806D9">
      <w:pPr>
        <w:pBdr>
          <w:top w:val="single" w:sz="4" w:space="1" w:color="auto"/>
          <w:left w:val="single" w:sz="4" w:space="0" w:color="auto"/>
          <w:bottom w:val="single" w:sz="4" w:space="1" w:color="auto"/>
          <w:right w:val="single" w:sz="4" w:space="4" w:color="auto"/>
        </w:pBdr>
        <w:rPr>
          <w:rFonts w:ascii="Arial" w:hAnsi="Arial"/>
          <w:color w:val="808080" w:themeColor="background1" w:themeShade="80"/>
        </w:rPr>
      </w:pPr>
      <w:r>
        <w:rPr>
          <w:rFonts w:ascii="Arial" w:hAnsi="Arial"/>
          <w:color w:val="808080" w:themeColor="background1" w:themeShade="80"/>
        </w:rPr>
        <w:t xml:space="preserve">Z uwagi na fakt, że, jak wspomniano, projektowana ustawa zawiera regulacje uzupełniające przewidzianą w uchwale Sejmu </w:t>
      </w:r>
      <w:r w:rsidRPr="00744FAF">
        <w:rPr>
          <w:rFonts w:ascii="Arial" w:hAnsi="Arial"/>
          <w:color w:val="808080" w:themeColor="background1" w:themeShade="80"/>
        </w:rPr>
        <w:t xml:space="preserve">z 26 lipca 2024 r. w sprawie zmiany Regulaminu Sejmu </w:t>
      </w:r>
      <w:r>
        <w:rPr>
          <w:rFonts w:ascii="Arial" w:hAnsi="Arial"/>
          <w:color w:val="808080" w:themeColor="background1" w:themeShade="80"/>
        </w:rPr>
        <w:t>nową instytucję konsultacji społecznych projektów ustaw, wejście w życie ustawy nie wywoła skutków gospodarczych, które mogłyby być szacowane niezależnie od skutków wejścia w życie ww. przepisów regulaminowych.</w:t>
      </w:r>
    </w:p>
    <w:p w14:paraId="59B60166" w14:textId="77777777" w:rsidR="003806D9" w:rsidRDefault="003806D9" w:rsidP="003806D9">
      <w:pPr>
        <w:rPr>
          <w:rFonts w:ascii="Arial" w:hAnsi="Arial"/>
          <w:sz w:val="24"/>
        </w:rPr>
      </w:pPr>
    </w:p>
    <w:p w14:paraId="36608DE8" w14:textId="77777777" w:rsidR="003806D9" w:rsidRDefault="003806D9" w:rsidP="003806D9">
      <w:pPr>
        <w:rPr>
          <w:rFonts w:ascii="Arial" w:hAnsi="Arial"/>
          <w:sz w:val="24"/>
        </w:rPr>
      </w:pPr>
    </w:p>
    <w:p w14:paraId="3130CDAE" w14:textId="77777777" w:rsidR="003806D9" w:rsidRDefault="003806D9" w:rsidP="003806D9">
      <w:pPr>
        <w:rPr>
          <w:rFonts w:ascii="Arial" w:hAnsi="Arial"/>
          <w:sz w:val="24"/>
        </w:rPr>
      </w:pPr>
      <w:r w:rsidRPr="009C37AF">
        <w:rPr>
          <w:rFonts w:ascii="Arial" w:hAnsi="Arial"/>
          <w:sz w:val="24"/>
        </w:rPr>
        <w:t xml:space="preserve">[6] </w:t>
      </w:r>
      <w:r w:rsidRPr="00295B4F">
        <w:rPr>
          <w:rFonts w:ascii="Arial" w:hAnsi="Arial"/>
          <w:sz w:val="24"/>
        </w:rPr>
        <w:t xml:space="preserve">Jakie są </w:t>
      </w:r>
      <w:r w:rsidRPr="00226094">
        <w:rPr>
          <w:rFonts w:ascii="Arial" w:hAnsi="Arial"/>
          <w:sz w:val="24"/>
        </w:rPr>
        <w:t>przewidywane</w:t>
      </w:r>
      <w:r w:rsidRPr="00295B4F">
        <w:rPr>
          <w:rFonts w:ascii="Arial" w:hAnsi="Arial"/>
          <w:sz w:val="24"/>
        </w:rPr>
        <w:t xml:space="preserve"> skutki finansowe projektowanych rozwiązań, w</w:t>
      </w:r>
      <w:r>
        <w:rPr>
          <w:rFonts w:ascii="Arial" w:hAnsi="Arial"/>
          <w:sz w:val="24"/>
        </w:rPr>
        <w:t> </w:t>
      </w:r>
      <w:r w:rsidRPr="00295B4F">
        <w:rPr>
          <w:rFonts w:ascii="Arial" w:hAnsi="Arial"/>
          <w:sz w:val="24"/>
        </w:rPr>
        <w:t xml:space="preserve">szczególności wpływ na sektor finansów publicznych, w tym na budżet państwa </w:t>
      </w:r>
      <w:r>
        <w:rPr>
          <w:rFonts w:ascii="Arial" w:hAnsi="Arial"/>
          <w:sz w:val="24"/>
        </w:rPr>
        <w:t>i </w:t>
      </w:r>
      <w:r w:rsidRPr="00295B4F">
        <w:rPr>
          <w:rFonts w:ascii="Arial" w:hAnsi="Arial"/>
          <w:sz w:val="24"/>
        </w:rPr>
        <w:t>budżety jednostek samorządu terytorialnego?</w:t>
      </w:r>
    </w:p>
    <w:p w14:paraId="384F623B" w14:textId="77777777" w:rsidR="003806D9" w:rsidRDefault="003806D9" w:rsidP="003806D9">
      <w:pPr>
        <w:rPr>
          <w:rFonts w:ascii="Arial" w:hAnsi="Arial"/>
          <w:sz w:val="24"/>
        </w:rPr>
      </w:pPr>
    </w:p>
    <w:tbl>
      <w:tblPr>
        <w:tblStyle w:val="Tabela-Siatka"/>
        <w:tblW w:w="0" w:type="auto"/>
        <w:tblLook w:val="04A0" w:firstRow="1" w:lastRow="0" w:firstColumn="1" w:lastColumn="0" w:noHBand="0" w:noVBand="1"/>
      </w:tblPr>
      <w:tblGrid>
        <w:gridCol w:w="9060"/>
      </w:tblGrid>
      <w:tr w:rsidR="003806D9" w14:paraId="394AF27E" w14:textId="77777777" w:rsidTr="00044044">
        <w:tc>
          <w:tcPr>
            <w:tcW w:w="9062" w:type="dxa"/>
          </w:tcPr>
          <w:p w14:paraId="587838FD" w14:textId="77777777" w:rsidR="003806D9" w:rsidRDefault="003806D9" w:rsidP="00044044">
            <w:pPr>
              <w:rPr>
                <w:rFonts w:ascii="Arial" w:hAnsi="Arial"/>
                <w:color w:val="808080" w:themeColor="background1" w:themeShade="80"/>
              </w:rPr>
            </w:pPr>
            <w:r w:rsidRPr="009F6777">
              <w:rPr>
                <w:rFonts w:ascii="Arial" w:hAnsi="Arial"/>
                <w:color w:val="808080" w:themeColor="background1" w:themeShade="80"/>
              </w:rPr>
              <w:t>W sprawie podmiotów, na które oddziałuje projekt, zob. pkt 4 formularza.</w:t>
            </w:r>
          </w:p>
          <w:p w14:paraId="172F2DA9" w14:textId="77777777" w:rsidR="003806D9" w:rsidRDefault="003806D9" w:rsidP="00044044">
            <w:pPr>
              <w:rPr>
                <w:rFonts w:ascii="Arial" w:hAnsi="Arial"/>
                <w:color w:val="808080" w:themeColor="background1" w:themeShade="80"/>
              </w:rPr>
            </w:pPr>
          </w:p>
          <w:p w14:paraId="07F76784" w14:textId="77777777" w:rsidR="003806D9" w:rsidRPr="00FA0ECB" w:rsidRDefault="003806D9" w:rsidP="00044044">
            <w:pPr>
              <w:rPr>
                <w:rFonts w:ascii="Arial" w:hAnsi="Arial"/>
                <w:color w:val="808080" w:themeColor="background1" w:themeShade="80"/>
              </w:rPr>
            </w:pPr>
            <w:r w:rsidRPr="00744FAF">
              <w:rPr>
                <w:rFonts w:ascii="Arial" w:hAnsi="Arial"/>
                <w:color w:val="808080" w:themeColor="background1" w:themeShade="80"/>
              </w:rPr>
              <w:lastRenderedPageBreak/>
              <w:t xml:space="preserve">Z uwagi na fakt, że, jak wspomniano, projektowana ustawa zawiera regulacje uzupełniające przewidzianą w uchwale Sejmu z 26 lipca 2024 r. w sprawie zmiany Regulaminu Sejmu nową instytucję konsultacji społecznych projektów ustaw, wejście w życie ustawy nie wywoła skutków </w:t>
            </w:r>
            <w:r>
              <w:rPr>
                <w:rFonts w:ascii="Arial" w:hAnsi="Arial"/>
                <w:color w:val="808080" w:themeColor="background1" w:themeShade="80"/>
              </w:rPr>
              <w:t>finansowych</w:t>
            </w:r>
            <w:r w:rsidRPr="00744FAF">
              <w:rPr>
                <w:rFonts w:ascii="Arial" w:hAnsi="Arial"/>
                <w:color w:val="808080" w:themeColor="background1" w:themeShade="80"/>
              </w:rPr>
              <w:t>, które mogłyby być szacowane niezależnie od skutków wejścia w życie ww. przepisów regulaminowych.</w:t>
            </w:r>
          </w:p>
        </w:tc>
      </w:tr>
    </w:tbl>
    <w:p w14:paraId="0B45A6D1" w14:textId="77777777" w:rsidR="003806D9" w:rsidRDefault="003806D9" w:rsidP="003806D9">
      <w:pPr>
        <w:rPr>
          <w:rFonts w:ascii="Arial" w:hAnsi="Arial"/>
          <w:sz w:val="24"/>
        </w:rPr>
      </w:pPr>
    </w:p>
    <w:p w14:paraId="0A1D47A4" w14:textId="77777777" w:rsidR="003806D9" w:rsidRPr="009C37AF" w:rsidRDefault="003806D9" w:rsidP="003806D9">
      <w:pPr>
        <w:rPr>
          <w:rFonts w:ascii="Arial" w:hAnsi="Arial"/>
          <w:sz w:val="24"/>
        </w:rPr>
      </w:pPr>
    </w:p>
    <w:p w14:paraId="20521C65" w14:textId="77777777" w:rsidR="003806D9" w:rsidRDefault="003806D9" w:rsidP="003806D9">
      <w:pPr>
        <w:rPr>
          <w:rFonts w:ascii="Arial" w:hAnsi="Arial"/>
          <w:sz w:val="24"/>
        </w:rPr>
      </w:pPr>
      <w:r w:rsidRPr="009C37AF">
        <w:rPr>
          <w:rFonts w:ascii="Arial" w:hAnsi="Arial"/>
          <w:sz w:val="24"/>
        </w:rPr>
        <w:t>[7] Wykaz źródeł finansowania, jeśli projekt ustawy pociąga za sobą obciążenie budżetu państwa lub budżetów jednostek samorządu terytorialnego</w:t>
      </w:r>
      <w:r>
        <w:rPr>
          <w:rFonts w:ascii="Arial" w:hAnsi="Arial"/>
          <w:sz w:val="24"/>
        </w:rPr>
        <w:t>.</w:t>
      </w:r>
    </w:p>
    <w:p w14:paraId="091822EA" w14:textId="77777777" w:rsidR="003806D9" w:rsidRDefault="003806D9" w:rsidP="003806D9">
      <w:pPr>
        <w:rPr>
          <w:rFonts w:ascii="Arial" w:hAnsi="Arial"/>
          <w:sz w:val="24"/>
        </w:rPr>
      </w:pPr>
    </w:p>
    <w:tbl>
      <w:tblPr>
        <w:tblStyle w:val="Tabela-Siatka"/>
        <w:tblW w:w="0" w:type="auto"/>
        <w:tblLook w:val="04A0" w:firstRow="1" w:lastRow="0" w:firstColumn="1" w:lastColumn="0" w:noHBand="0" w:noVBand="1"/>
      </w:tblPr>
      <w:tblGrid>
        <w:gridCol w:w="9060"/>
      </w:tblGrid>
      <w:tr w:rsidR="003806D9" w14:paraId="668FC1DA" w14:textId="77777777" w:rsidTr="00044044">
        <w:tc>
          <w:tcPr>
            <w:tcW w:w="9062" w:type="dxa"/>
          </w:tcPr>
          <w:p w14:paraId="7E0024C6" w14:textId="77777777" w:rsidR="003806D9" w:rsidRPr="009F6777" w:rsidRDefault="003806D9" w:rsidP="00044044">
            <w:pPr>
              <w:rPr>
                <w:rFonts w:ascii="Arial" w:hAnsi="Arial"/>
                <w:color w:val="808080" w:themeColor="background1" w:themeShade="80"/>
              </w:rPr>
            </w:pPr>
            <w:r w:rsidRPr="00FF4C6A">
              <w:rPr>
                <w:rFonts w:ascii="Arial" w:hAnsi="Arial"/>
                <w:color w:val="808080" w:themeColor="background1" w:themeShade="80"/>
              </w:rPr>
              <w:t>Z uwagi na fakt, że, jak wspomniano, projektowana ustawa zawiera regulacje uzupełniające przewidzianą w uchwale Sejmu z 26 lipca 2024 r. w sprawie zmiany Regulaminu Sejmu nową instytucję konsultacji społecznych projektów usta</w:t>
            </w:r>
            <w:r>
              <w:rPr>
                <w:rFonts w:ascii="Arial" w:hAnsi="Arial"/>
                <w:color w:val="808080" w:themeColor="background1" w:themeShade="80"/>
              </w:rPr>
              <w:t>w, nie jest celowe wskazywanie samoistnych źródeł finansowania.</w:t>
            </w:r>
          </w:p>
        </w:tc>
      </w:tr>
    </w:tbl>
    <w:p w14:paraId="340CC733" w14:textId="77777777" w:rsidR="003806D9" w:rsidRDefault="003806D9" w:rsidP="003806D9">
      <w:pPr>
        <w:rPr>
          <w:rFonts w:ascii="Arial" w:hAnsi="Arial"/>
          <w:sz w:val="24"/>
        </w:rPr>
      </w:pPr>
    </w:p>
    <w:p w14:paraId="6942C4CB" w14:textId="77777777" w:rsidR="003806D9" w:rsidRPr="009C37AF" w:rsidRDefault="003806D9" w:rsidP="003806D9">
      <w:pPr>
        <w:rPr>
          <w:rFonts w:ascii="Arial" w:hAnsi="Arial"/>
          <w:sz w:val="24"/>
        </w:rPr>
      </w:pPr>
    </w:p>
    <w:p w14:paraId="418494B6" w14:textId="77777777" w:rsidR="003806D9" w:rsidRPr="009C37AF" w:rsidRDefault="003806D9" w:rsidP="003806D9">
      <w:pPr>
        <w:rPr>
          <w:rFonts w:ascii="Arial" w:hAnsi="Arial"/>
          <w:sz w:val="24"/>
        </w:rPr>
      </w:pPr>
      <w:r w:rsidRPr="009C37AF">
        <w:rPr>
          <w:rFonts w:ascii="Arial" w:hAnsi="Arial"/>
          <w:sz w:val="24"/>
        </w:rPr>
        <w:t>[8] Czy projekt ustawy podlega procedurze notyfikacyjnej?</w:t>
      </w:r>
      <w:r>
        <w:rPr>
          <w:rFonts w:ascii="Arial" w:hAnsi="Arial"/>
          <w:sz w:val="24"/>
        </w:rPr>
        <w:t xml:space="preserve"> </w:t>
      </w:r>
    </w:p>
    <w:p w14:paraId="1649D25A" w14:textId="77777777" w:rsidR="003806D9" w:rsidRPr="00526C39" w:rsidRDefault="003806D9" w:rsidP="003806D9">
      <w:pPr>
        <w:pStyle w:val="Akapitzlist"/>
        <w:widowControl/>
        <w:numPr>
          <w:ilvl w:val="0"/>
          <w:numId w:val="4"/>
        </w:numPr>
        <w:autoSpaceDE/>
        <w:autoSpaceDN/>
        <w:adjustRightInd/>
        <w:spacing w:before="0" w:after="160" w:line="240" w:lineRule="auto"/>
        <w:rPr>
          <w:rFonts w:ascii="Arial" w:hAnsi="Arial" w:cs="Arial"/>
          <w:b/>
          <w:bCs/>
          <w:sz w:val="24"/>
        </w:rPr>
      </w:pPr>
      <w:r w:rsidRPr="00526C39">
        <w:rPr>
          <w:rFonts w:ascii="Arial" w:hAnsi="Arial" w:cs="Arial"/>
          <w:b/>
          <w:bCs/>
          <w:sz w:val="24"/>
        </w:rPr>
        <w:t xml:space="preserve">Nie </w:t>
      </w:r>
    </w:p>
    <w:p w14:paraId="29177E12" w14:textId="77777777" w:rsidR="003806D9" w:rsidRDefault="003806D9" w:rsidP="003806D9">
      <w:pPr>
        <w:rPr>
          <w:rFonts w:ascii="Arial" w:hAnsi="Arial"/>
          <w:b/>
          <w:sz w:val="24"/>
        </w:rPr>
      </w:pPr>
    </w:p>
    <w:p w14:paraId="054C34EF" w14:textId="77777777" w:rsidR="003806D9" w:rsidRDefault="003806D9" w:rsidP="003806D9">
      <w:pPr>
        <w:rPr>
          <w:rFonts w:ascii="Arial" w:hAnsi="Arial"/>
          <w:b/>
          <w:sz w:val="24"/>
        </w:rPr>
      </w:pPr>
    </w:p>
    <w:p w14:paraId="579777BC" w14:textId="77777777" w:rsidR="003806D9" w:rsidRDefault="003806D9" w:rsidP="003806D9">
      <w:pPr>
        <w:rPr>
          <w:rFonts w:ascii="Arial" w:hAnsi="Arial"/>
          <w:b/>
          <w:sz w:val="24"/>
        </w:rPr>
      </w:pPr>
      <w:r w:rsidRPr="009C37AF">
        <w:rPr>
          <w:rFonts w:ascii="Arial" w:hAnsi="Arial"/>
          <w:b/>
          <w:sz w:val="24"/>
        </w:rPr>
        <w:t>III.</w:t>
      </w:r>
      <w:r>
        <w:rPr>
          <w:rFonts w:ascii="Arial" w:hAnsi="Arial"/>
          <w:b/>
          <w:sz w:val="24"/>
        </w:rPr>
        <w:t xml:space="preserve"> </w:t>
      </w:r>
      <w:bookmarkStart w:id="3" w:name="_Hlk174441212"/>
      <w:r>
        <w:rPr>
          <w:rFonts w:ascii="Arial" w:hAnsi="Arial"/>
          <w:b/>
          <w:sz w:val="24"/>
        </w:rPr>
        <w:t>Wymogi określone w art. 34 ust. 2a i 2b regulaminu Sejmu</w:t>
      </w:r>
    </w:p>
    <w:p w14:paraId="68D94900" w14:textId="77777777" w:rsidR="003806D9" w:rsidRPr="009C37AF" w:rsidRDefault="003806D9" w:rsidP="003806D9">
      <w:pPr>
        <w:rPr>
          <w:rFonts w:ascii="Arial" w:hAnsi="Arial"/>
          <w:b/>
          <w:sz w:val="24"/>
        </w:rPr>
      </w:pPr>
      <w:r>
        <w:rPr>
          <w:rFonts w:ascii="Arial" w:hAnsi="Arial"/>
          <w:b/>
          <w:sz w:val="24"/>
        </w:rPr>
        <w:t xml:space="preserve"> </w:t>
      </w:r>
      <w:bookmarkEnd w:id="3"/>
    </w:p>
    <w:p w14:paraId="72D27FCE" w14:textId="77777777" w:rsidR="003806D9" w:rsidRPr="009C37AF" w:rsidRDefault="003806D9" w:rsidP="003806D9">
      <w:pPr>
        <w:rPr>
          <w:rFonts w:ascii="Arial" w:hAnsi="Arial"/>
          <w:sz w:val="24"/>
        </w:rPr>
      </w:pPr>
      <w:r w:rsidRPr="009C37AF">
        <w:rPr>
          <w:rFonts w:ascii="Arial" w:hAnsi="Arial"/>
          <w:sz w:val="24"/>
        </w:rPr>
        <w:t>[</w:t>
      </w:r>
      <w:r>
        <w:rPr>
          <w:rFonts w:ascii="Arial" w:hAnsi="Arial"/>
          <w:sz w:val="24"/>
        </w:rPr>
        <w:t>9</w:t>
      </w:r>
      <w:r w:rsidRPr="009C37AF">
        <w:rPr>
          <w:rFonts w:ascii="Arial" w:hAnsi="Arial"/>
          <w:sz w:val="24"/>
        </w:rPr>
        <w:t>] Czy projekt ustawy zawiera przepisy określające zasady podejmowania, wykonywania lub zakończenia działalności gospodarczej (art. 34 ust. 2a regulaminu Sejmu)</w:t>
      </w:r>
      <w:r>
        <w:rPr>
          <w:rFonts w:ascii="Arial" w:hAnsi="Arial"/>
          <w:sz w:val="24"/>
        </w:rPr>
        <w:t>?</w:t>
      </w:r>
    </w:p>
    <w:p w14:paraId="107DF6E1" w14:textId="77777777" w:rsidR="003806D9" w:rsidRPr="00526C39" w:rsidRDefault="003806D9" w:rsidP="003806D9">
      <w:pPr>
        <w:pStyle w:val="Akapitzlist"/>
        <w:widowControl/>
        <w:numPr>
          <w:ilvl w:val="0"/>
          <w:numId w:val="4"/>
        </w:numPr>
        <w:autoSpaceDE/>
        <w:autoSpaceDN/>
        <w:adjustRightInd/>
        <w:spacing w:before="0" w:after="160" w:line="240" w:lineRule="auto"/>
        <w:rPr>
          <w:rFonts w:ascii="Arial" w:hAnsi="Arial" w:cs="Arial"/>
          <w:b/>
          <w:bCs/>
          <w:sz w:val="24"/>
        </w:rPr>
      </w:pPr>
      <w:r w:rsidRPr="00526C39">
        <w:rPr>
          <w:rFonts w:ascii="Arial" w:hAnsi="Arial" w:cs="Arial"/>
          <w:b/>
          <w:bCs/>
          <w:sz w:val="24"/>
        </w:rPr>
        <w:t>Nie</w:t>
      </w:r>
    </w:p>
    <w:p w14:paraId="4B74BEB9" w14:textId="77777777" w:rsidR="003806D9" w:rsidRPr="005E6B97" w:rsidRDefault="003806D9" w:rsidP="003806D9">
      <w:pPr>
        <w:spacing w:line="240" w:lineRule="auto"/>
        <w:rPr>
          <w:rFonts w:ascii="Arial" w:hAnsi="Arial"/>
          <w:sz w:val="24"/>
        </w:rPr>
      </w:pPr>
    </w:p>
    <w:p w14:paraId="58C5A6C2" w14:textId="77777777" w:rsidR="003806D9" w:rsidRPr="009C37AF" w:rsidRDefault="003806D9" w:rsidP="003806D9">
      <w:pPr>
        <w:rPr>
          <w:rFonts w:ascii="Arial" w:hAnsi="Arial"/>
          <w:sz w:val="24"/>
        </w:rPr>
      </w:pPr>
      <w:r w:rsidRPr="009C37AF">
        <w:rPr>
          <w:rFonts w:ascii="Arial" w:hAnsi="Arial"/>
          <w:sz w:val="24"/>
        </w:rPr>
        <w:t>[</w:t>
      </w:r>
      <w:r>
        <w:rPr>
          <w:rFonts w:ascii="Arial" w:hAnsi="Arial"/>
          <w:sz w:val="24"/>
        </w:rPr>
        <w:t>10</w:t>
      </w:r>
      <w:r w:rsidRPr="009C37AF">
        <w:rPr>
          <w:rFonts w:ascii="Arial" w:hAnsi="Arial"/>
          <w:sz w:val="24"/>
        </w:rPr>
        <w:t xml:space="preserve">] Czy wdrożenie projektowanych przepisów spowoduje obciążenia administracyjne </w:t>
      </w:r>
      <w:proofErr w:type="spellStart"/>
      <w:r w:rsidRPr="009C37AF">
        <w:rPr>
          <w:rFonts w:ascii="Arial" w:hAnsi="Arial"/>
          <w:sz w:val="24"/>
        </w:rPr>
        <w:t>mikroprzedsiębiorców</w:t>
      </w:r>
      <w:proofErr w:type="spellEnd"/>
      <w:r w:rsidRPr="009C37AF">
        <w:rPr>
          <w:rFonts w:ascii="Arial" w:hAnsi="Arial"/>
          <w:sz w:val="24"/>
        </w:rPr>
        <w:t>, małych i średnich przedsiębiorców</w:t>
      </w:r>
      <w:r>
        <w:rPr>
          <w:rFonts w:ascii="Arial" w:hAnsi="Arial"/>
          <w:sz w:val="24"/>
        </w:rPr>
        <w:t xml:space="preserve"> </w:t>
      </w:r>
      <w:r w:rsidRPr="009C37AF">
        <w:rPr>
          <w:rFonts w:ascii="Arial" w:hAnsi="Arial"/>
          <w:sz w:val="24"/>
        </w:rPr>
        <w:t>(art. 34 ust. 2a regulaminu Sejmu)</w:t>
      </w:r>
      <w:r>
        <w:rPr>
          <w:rFonts w:ascii="Arial" w:hAnsi="Arial"/>
          <w:sz w:val="24"/>
        </w:rPr>
        <w:t>?</w:t>
      </w:r>
    </w:p>
    <w:p w14:paraId="319B3B5E" w14:textId="77777777" w:rsidR="003806D9" w:rsidRPr="00526C39" w:rsidRDefault="003806D9" w:rsidP="003806D9">
      <w:pPr>
        <w:pStyle w:val="Akapitzlist"/>
        <w:widowControl/>
        <w:numPr>
          <w:ilvl w:val="0"/>
          <w:numId w:val="4"/>
        </w:numPr>
        <w:autoSpaceDE/>
        <w:autoSpaceDN/>
        <w:adjustRightInd/>
        <w:spacing w:before="0" w:after="160" w:line="240" w:lineRule="auto"/>
        <w:rPr>
          <w:rFonts w:ascii="Arial" w:hAnsi="Arial" w:cs="Arial"/>
          <w:b/>
          <w:bCs/>
          <w:sz w:val="24"/>
        </w:rPr>
      </w:pPr>
      <w:r w:rsidRPr="00526C39">
        <w:rPr>
          <w:rFonts w:ascii="Arial" w:hAnsi="Arial" w:cs="Arial"/>
          <w:b/>
          <w:bCs/>
          <w:sz w:val="24"/>
        </w:rPr>
        <w:t>Nie</w:t>
      </w:r>
    </w:p>
    <w:p w14:paraId="2B41454A" w14:textId="77777777" w:rsidR="003806D9" w:rsidRPr="005E6B97" w:rsidRDefault="003806D9" w:rsidP="003806D9">
      <w:pPr>
        <w:spacing w:line="240" w:lineRule="auto"/>
        <w:rPr>
          <w:rFonts w:ascii="Arial" w:hAnsi="Arial"/>
          <w:sz w:val="24"/>
        </w:rPr>
      </w:pPr>
    </w:p>
    <w:p w14:paraId="020BEDF2" w14:textId="77777777" w:rsidR="003806D9" w:rsidRPr="009C37AF" w:rsidRDefault="003806D9" w:rsidP="003806D9">
      <w:pPr>
        <w:rPr>
          <w:rFonts w:ascii="Arial" w:hAnsi="Arial"/>
          <w:sz w:val="24"/>
        </w:rPr>
      </w:pPr>
      <w:r w:rsidRPr="009C37AF">
        <w:rPr>
          <w:rFonts w:ascii="Arial" w:hAnsi="Arial"/>
          <w:sz w:val="24"/>
        </w:rPr>
        <w:t>[1</w:t>
      </w:r>
      <w:r>
        <w:rPr>
          <w:rFonts w:ascii="Arial" w:hAnsi="Arial"/>
          <w:sz w:val="24"/>
        </w:rPr>
        <w:t>1</w:t>
      </w:r>
      <w:r w:rsidRPr="009C37AF">
        <w:rPr>
          <w:rFonts w:ascii="Arial" w:hAnsi="Arial"/>
          <w:sz w:val="24"/>
        </w:rPr>
        <w:t>] Czy projekt ustawy zawiera przepisy regulacyjne lub określa wymogi dotyczące świadczenia usług transgranicznych w rozumieniu ustawy z dnia 22 grudnia 2015 r. o</w:t>
      </w:r>
      <w:r>
        <w:rPr>
          <w:rFonts w:ascii="Arial" w:hAnsi="Arial"/>
          <w:sz w:val="24"/>
        </w:rPr>
        <w:t> </w:t>
      </w:r>
      <w:r w:rsidRPr="009C37AF">
        <w:rPr>
          <w:rFonts w:ascii="Arial" w:hAnsi="Arial"/>
          <w:sz w:val="24"/>
        </w:rPr>
        <w:t>zasadach uznawania kwalifikacji zawodowych nabytych w państwach członkowskich Unii Europejskiej (art. 34 ust. 2b regulaminu Sejmu)?</w:t>
      </w:r>
    </w:p>
    <w:p w14:paraId="1EB40A06" w14:textId="77777777" w:rsidR="003806D9" w:rsidRPr="00526C39" w:rsidRDefault="003806D9" w:rsidP="003806D9">
      <w:pPr>
        <w:pStyle w:val="Akapitzlist"/>
        <w:widowControl/>
        <w:numPr>
          <w:ilvl w:val="0"/>
          <w:numId w:val="5"/>
        </w:numPr>
        <w:autoSpaceDE/>
        <w:autoSpaceDN/>
        <w:adjustRightInd/>
        <w:spacing w:before="0" w:after="160" w:line="259" w:lineRule="auto"/>
        <w:ind w:left="714" w:hanging="357"/>
        <w:rPr>
          <w:rFonts w:ascii="Arial" w:hAnsi="Arial" w:cs="Arial"/>
          <w:b/>
          <w:bCs/>
          <w:sz w:val="24"/>
        </w:rPr>
      </w:pPr>
      <w:r w:rsidRPr="00526C39">
        <w:rPr>
          <w:rFonts w:ascii="Arial" w:hAnsi="Arial" w:cs="Arial"/>
          <w:b/>
          <w:bCs/>
          <w:sz w:val="24"/>
        </w:rPr>
        <w:t xml:space="preserve">Nie </w:t>
      </w:r>
    </w:p>
    <w:p w14:paraId="7BF148FE" w14:textId="77777777" w:rsidR="003806D9" w:rsidRPr="009C37AF" w:rsidRDefault="003806D9" w:rsidP="003806D9">
      <w:pPr>
        <w:pStyle w:val="Akapitzlist"/>
        <w:ind w:left="714"/>
        <w:rPr>
          <w:rFonts w:ascii="Arial" w:hAnsi="Arial" w:cs="Arial"/>
          <w:sz w:val="24"/>
        </w:rPr>
      </w:pPr>
    </w:p>
    <w:p w14:paraId="728A2DAF" w14:textId="77777777" w:rsidR="003806D9" w:rsidRPr="009C37AF" w:rsidRDefault="003806D9" w:rsidP="003806D9">
      <w:pPr>
        <w:rPr>
          <w:rFonts w:ascii="Arial" w:hAnsi="Arial"/>
          <w:sz w:val="24"/>
        </w:rPr>
      </w:pPr>
    </w:p>
    <w:p w14:paraId="7CFBE64F" w14:textId="77777777" w:rsidR="005E31CC" w:rsidRPr="005315BE" w:rsidRDefault="005E31CC" w:rsidP="005315BE">
      <w:pPr>
        <w:rPr>
          <w:rStyle w:val="Ppogrubienie"/>
          <w:b w:val="0"/>
        </w:rPr>
      </w:pPr>
    </w:p>
    <w:sectPr w:rsidR="005E31CC" w:rsidRPr="005315BE" w:rsidSect="003806D9">
      <w:headerReference w:type="default" r:id="rId10"/>
      <w:headerReference w:type="first" r:id="rId11"/>
      <w:pgSz w:w="11906" w:h="16838"/>
      <w:pgMar w:top="851" w:right="1418" w:bottom="851" w:left="1418" w:header="567"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29C74" w14:textId="77777777" w:rsidR="0098348D" w:rsidRDefault="0098348D">
      <w:r>
        <w:separator/>
      </w:r>
    </w:p>
  </w:endnote>
  <w:endnote w:type="continuationSeparator" w:id="0">
    <w:p w14:paraId="73A92803" w14:textId="77777777" w:rsidR="0098348D" w:rsidRDefault="0098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3F07E" w14:textId="77777777" w:rsidR="0098348D" w:rsidRDefault="0098348D">
      <w:r>
        <w:separator/>
      </w:r>
    </w:p>
  </w:footnote>
  <w:footnote w:type="continuationSeparator" w:id="0">
    <w:p w14:paraId="0003787D" w14:textId="77777777" w:rsidR="0098348D" w:rsidRDefault="0098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783860"/>
      <w:docPartObj>
        <w:docPartGallery w:val="Page Numbers (Top of Page)"/>
        <w:docPartUnique/>
      </w:docPartObj>
    </w:sdtPr>
    <w:sdtContent>
      <w:p w14:paraId="525E1BDD" w14:textId="7D263072" w:rsidR="00165A26" w:rsidRDefault="00165A26">
        <w:pPr>
          <w:pStyle w:val="Nagwek"/>
          <w:jc w:val="center"/>
        </w:pPr>
        <w:r>
          <w:fldChar w:fldCharType="begin"/>
        </w:r>
        <w:r>
          <w:instrText>PAGE   \* MERGEFORMAT</w:instrText>
        </w:r>
        <w:r>
          <w:fldChar w:fldCharType="separate"/>
        </w:r>
        <w:r w:rsidR="00605A71">
          <w:rPr>
            <w:noProof/>
          </w:rPr>
          <w:t>2</w:t>
        </w:r>
        <w:r>
          <w:fldChar w:fldCharType="end"/>
        </w:r>
      </w:p>
    </w:sdtContent>
  </w:sdt>
  <w:p w14:paraId="034AA34E" w14:textId="1DA6D600" w:rsidR="00CC3E3D" w:rsidRPr="00165A26" w:rsidRDefault="00CC3E3D" w:rsidP="00165A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13068"/>
      <w:docPartObj>
        <w:docPartGallery w:val="Page Numbers (Top of Page)"/>
        <w:docPartUnique/>
      </w:docPartObj>
    </w:sdtPr>
    <w:sdtEndPr>
      <w:rPr>
        <w:rFonts w:ascii="Arial" w:hAnsi="Arial" w:cs="Arial"/>
        <w:sz w:val="24"/>
      </w:rPr>
    </w:sdtEndPr>
    <w:sdtContent>
      <w:p w14:paraId="3A0784B1" w14:textId="77777777" w:rsidR="00000000" w:rsidRPr="00312A04" w:rsidRDefault="00000000">
        <w:pPr>
          <w:pStyle w:val="Nagwek"/>
          <w:jc w:val="center"/>
          <w:rPr>
            <w:rFonts w:ascii="Arial" w:hAnsi="Arial" w:cs="Arial"/>
            <w:sz w:val="24"/>
          </w:rPr>
        </w:pPr>
        <w:r w:rsidRPr="00312A04">
          <w:rPr>
            <w:rFonts w:ascii="Arial" w:hAnsi="Arial" w:cs="Arial"/>
            <w:sz w:val="24"/>
          </w:rPr>
          <w:fldChar w:fldCharType="begin"/>
        </w:r>
        <w:r w:rsidRPr="00312A04">
          <w:rPr>
            <w:rFonts w:ascii="Arial" w:hAnsi="Arial" w:cs="Arial"/>
            <w:sz w:val="24"/>
          </w:rPr>
          <w:instrText>PAGE   \* MERGEFORMAT</w:instrText>
        </w:r>
        <w:r w:rsidRPr="00312A04">
          <w:rPr>
            <w:rFonts w:ascii="Arial" w:hAnsi="Arial" w:cs="Arial"/>
            <w:sz w:val="24"/>
          </w:rPr>
          <w:fldChar w:fldCharType="separate"/>
        </w:r>
        <w:r>
          <w:rPr>
            <w:rFonts w:ascii="Arial" w:hAnsi="Arial" w:cs="Arial"/>
            <w:noProof/>
            <w:sz w:val="24"/>
          </w:rPr>
          <w:t>2</w:t>
        </w:r>
        <w:r w:rsidRPr="00312A04">
          <w:rPr>
            <w:rFonts w:ascii="Arial" w:hAnsi="Arial" w:cs="Arial"/>
            <w:sz w:val="24"/>
          </w:rPr>
          <w:fldChar w:fldCharType="end"/>
        </w:r>
      </w:p>
    </w:sdtContent>
  </w:sdt>
  <w:p w14:paraId="4D7A465A" w14:textId="77777777" w:rsidR="00000000" w:rsidRPr="00874584" w:rsidRDefault="00000000" w:rsidP="00874584">
    <w:pPr>
      <w:pStyle w:val="Nagwek"/>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1542" w14:textId="77777777" w:rsidR="00000000" w:rsidRPr="00AE6419" w:rsidRDefault="00000000" w:rsidP="00AE6419">
    <w:pPr>
      <w:pStyle w:val="Nagwek"/>
    </w:pPr>
    <w:r w:rsidRPr="00AE641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72144"/>
    <w:multiLevelType w:val="hybridMultilevel"/>
    <w:tmpl w:val="2AB85FAC"/>
    <w:lvl w:ilvl="0" w:tplc="FFFFFFFF">
      <w:start w:val="1"/>
      <w:numFmt w:val="lowerLetter"/>
      <w:lvlText w:val="%1)"/>
      <w:lvlJc w:val="left"/>
      <w:pPr>
        <w:ind w:left="1230" w:hanging="360"/>
      </w:pPr>
    </w:lvl>
    <w:lvl w:ilvl="1" w:tplc="04150017">
      <w:start w:val="1"/>
      <w:numFmt w:val="lowerLetter"/>
      <w:lvlText w:val="%2)"/>
      <w:lvlJc w:val="left"/>
      <w:pPr>
        <w:ind w:left="1950" w:hanging="360"/>
      </w:pPr>
    </w:lvl>
    <w:lvl w:ilvl="2" w:tplc="FFFFFFFF">
      <w:start w:val="1"/>
      <w:numFmt w:val="lowerRoman"/>
      <w:lvlText w:val="%3."/>
      <w:lvlJc w:val="right"/>
      <w:pPr>
        <w:ind w:left="2670" w:hanging="180"/>
      </w:pPr>
    </w:lvl>
    <w:lvl w:ilvl="3" w:tplc="FFFFFFFF">
      <w:start w:val="1"/>
      <w:numFmt w:val="decimal"/>
      <w:lvlText w:val="%4."/>
      <w:lvlJc w:val="left"/>
      <w:pPr>
        <w:ind w:left="3390" w:hanging="360"/>
      </w:pPr>
    </w:lvl>
    <w:lvl w:ilvl="4" w:tplc="FFFFFFFF">
      <w:start w:val="1"/>
      <w:numFmt w:val="lowerLetter"/>
      <w:lvlText w:val="%5."/>
      <w:lvlJc w:val="left"/>
      <w:pPr>
        <w:ind w:left="4110" w:hanging="360"/>
      </w:pPr>
    </w:lvl>
    <w:lvl w:ilvl="5" w:tplc="FFFFFFFF">
      <w:start w:val="1"/>
      <w:numFmt w:val="lowerRoman"/>
      <w:lvlText w:val="%6."/>
      <w:lvlJc w:val="right"/>
      <w:pPr>
        <w:ind w:left="4830" w:hanging="180"/>
      </w:pPr>
    </w:lvl>
    <w:lvl w:ilvl="6" w:tplc="FFFFFFFF">
      <w:start w:val="1"/>
      <w:numFmt w:val="decimal"/>
      <w:lvlText w:val="%7."/>
      <w:lvlJc w:val="left"/>
      <w:pPr>
        <w:ind w:left="5550" w:hanging="360"/>
      </w:pPr>
    </w:lvl>
    <w:lvl w:ilvl="7" w:tplc="FFFFFFFF">
      <w:start w:val="1"/>
      <w:numFmt w:val="lowerLetter"/>
      <w:lvlText w:val="%8."/>
      <w:lvlJc w:val="left"/>
      <w:pPr>
        <w:ind w:left="6270" w:hanging="360"/>
      </w:pPr>
    </w:lvl>
    <w:lvl w:ilvl="8" w:tplc="FFFFFFFF">
      <w:start w:val="1"/>
      <w:numFmt w:val="lowerRoman"/>
      <w:lvlText w:val="%9."/>
      <w:lvlJc w:val="right"/>
      <w:pPr>
        <w:ind w:left="6990" w:hanging="180"/>
      </w:pPr>
    </w:lvl>
  </w:abstractNum>
  <w:abstractNum w:abstractNumId="1" w15:restartNumberingAfterBreak="0">
    <w:nsid w:val="288D6CEF"/>
    <w:multiLevelType w:val="hybridMultilevel"/>
    <w:tmpl w:val="16F4E6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D832EB2"/>
    <w:multiLevelType w:val="hybridMultilevel"/>
    <w:tmpl w:val="1E20F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52A55A6"/>
    <w:multiLevelType w:val="hybridMultilevel"/>
    <w:tmpl w:val="5C0CCFDE"/>
    <w:lvl w:ilvl="0" w:tplc="A650B4E0">
      <w:start w:val="1"/>
      <w:numFmt w:val="decimal"/>
      <w:lvlText w:val="%1)"/>
      <w:lvlJc w:val="left"/>
      <w:pPr>
        <w:ind w:left="1230" w:hanging="360"/>
      </w:pPr>
      <w:rPr>
        <w:rFonts w:ascii="Times New Roman" w:hAnsi="Times New Roman" w:cs="Times New Roman" w:hint="default"/>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4" w15:restartNumberingAfterBreak="0">
    <w:nsid w:val="7D44746E"/>
    <w:multiLevelType w:val="hybridMultilevel"/>
    <w:tmpl w:val="0E3A31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0456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09318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7033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487502">
    <w:abstractNumId w:val="4"/>
  </w:num>
  <w:num w:numId="5" w16cid:durableId="1496339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A3"/>
    <w:rsid w:val="000012DA"/>
    <w:rsid w:val="0000246E"/>
    <w:rsid w:val="00003862"/>
    <w:rsid w:val="00005C79"/>
    <w:rsid w:val="00012A35"/>
    <w:rsid w:val="00016099"/>
    <w:rsid w:val="00017DC2"/>
    <w:rsid w:val="00021522"/>
    <w:rsid w:val="000225DD"/>
    <w:rsid w:val="00023471"/>
    <w:rsid w:val="00023F13"/>
    <w:rsid w:val="00030634"/>
    <w:rsid w:val="000319C1"/>
    <w:rsid w:val="00031A8B"/>
    <w:rsid w:val="00031BCA"/>
    <w:rsid w:val="000328C8"/>
    <w:rsid w:val="000330FA"/>
    <w:rsid w:val="0003362F"/>
    <w:rsid w:val="00036B63"/>
    <w:rsid w:val="00037E1A"/>
    <w:rsid w:val="00043495"/>
    <w:rsid w:val="00046A75"/>
    <w:rsid w:val="00047312"/>
    <w:rsid w:val="000508BD"/>
    <w:rsid w:val="000517AB"/>
    <w:rsid w:val="0005339C"/>
    <w:rsid w:val="0005571B"/>
    <w:rsid w:val="00055AD7"/>
    <w:rsid w:val="00056456"/>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4CFA"/>
    <w:rsid w:val="00084E7F"/>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0541"/>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65A26"/>
    <w:rsid w:val="00166C5C"/>
    <w:rsid w:val="001724FE"/>
    <w:rsid w:val="00172F7A"/>
    <w:rsid w:val="00173150"/>
    <w:rsid w:val="00173390"/>
    <w:rsid w:val="001736F0"/>
    <w:rsid w:val="00173BB3"/>
    <w:rsid w:val="001740D0"/>
    <w:rsid w:val="00174F2C"/>
    <w:rsid w:val="00180F2A"/>
    <w:rsid w:val="0018390F"/>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C4E95"/>
    <w:rsid w:val="001C5E99"/>
    <w:rsid w:val="001D1783"/>
    <w:rsid w:val="001D53CD"/>
    <w:rsid w:val="001D55A3"/>
    <w:rsid w:val="001D5AF5"/>
    <w:rsid w:val="001E1E73"/>
    <w:rsid w:val="001E4E0C"/>
    <w:rsid w:val="001E526D"/>
    <w:rsid w:val="001E5655"/>
    <w:rsid w:val="001F1832"/>
    <w:rsid w:val="001F220F"/>
    <w:rsid w:val="001F25B3"/>
    <w:rsid w:val="001F6616"/>
    <w:rsid w:val="002012D2"/>
    <w:rsid w:val="00202BD4"/>
    <w:rsid w:val="00204A97"/>
    <w:rsid w:val="002114EF"/>
    <w:rsid w:val="00213272"/>
    <w:rsid w:val="002166AD"/>
    <w:rsid w:val="00217871"/>
    <w:rsid w:val="00221ED8"/>
    <w:rsid w:val="002231EA"/>
    <w:rsid w:val="00223FDF"/>
    <w:rsid w:val="002279C0"/>
    <w:rsid w:val="0023727E"/>
    <w:rsid w:val="00242081"/>
    <w:rsid w:val="00243777"/>
    <w:rsid w:val="002441CD"/>
    <w:rsid w:val="002501A3"/>
    <w:rsid w:val="0025166C"/>
    <w:rsid w:val="00251963"/>
    <w:rsid w:val="002555D4"/>
    <w:rsid w:val="00261A16"/>
    <w:rsid w:val="00263522"/>
    <w:rsid w:val="00264EC6"/>
    <w:rsid w:val="00271013"/>
    <w:rsid w:val="00273FE4"/>
    <w:rsid w:val="002765B4"/>
    <w:rsid w:val="00276A94"/>
    <w:rsid w:val="00287575"/>
    <w:rsid w:val="0029405D"/>
    <w:rsid w:val="00294FA6"/>
    <w:rsid w:val="00295A6F"/>
    <w:rsid w:val="002A20C4"/>
    <w:rsid w:val="002A48B5"/>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51AC"/>
    <w:rsid w:val="002F669F"/>
    <w:rsid w:val="00301C97"/>
    <w:rsid w:val="0031004C"/>
    <w:rsid w:val="003105F6"/>
    <w:rsid w:val="00311297"/>
    <w:rsid w:val="003113BE"/>
    <w:rsid w:val="003122CA"/>
    <w:rsid w:val="003148FD"/>
    <w:rsid w:val="003150D7"/>
    <w:rsid w:val="00321080"/>
    <w:rsid w:val="00321944"/>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A5"/>
    <w:rsid w:val="003674B0"/>
    <w:rsid w:val="0037727C"/>
    <w:rsid w:val="00377E70"/>
    <w:rsid w:val="003806D9"/>
    <w:rsid w:val="00380904"/>
    <w:rsid w:val="003823EE"/>
    <w:rsid w:val="00382960"/>
    <w:rsid w:val="003846F7"/>
    <w:rsid w:val="003851ED"/>
    <w:rsid w:val="00385B39"/>
    <w:rsid w:val="00386785"/>
    <w:rsid w:val="00386A95"/>
    <w:rsid w:val="00390E89"/>
    <w:rsid w:val="00391B1A"/>
    <w:rsid w:val="00394423"/>
    <w:rsid w:val="00395835"/>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3D"/>
    <w:rsid w:val="003D3867"/>
    <w:rsid w:val="003E0D1A"/>
    <w:rsid w:val="003E2DA3"/>
    <w:rsid w:val="003F020D"/>
    <w:rsid w:val="003F03D9"/>
    <w:rsid w:val="003F2FBE"/>
    <w:rsid w:val="003F318D"/>
    <w:rsid w:val="003F5BAE"/>
    <w:rsid w:val="003F6ED7"/>
    <w:rsid w:val="00401C84"/>
    <w:rsid w:val="00403210"/>
    <w:rsid w:val="004035BB"/>
    <w:rsid w:val="004035EB"/>
    <w:rsid w:val="00407077"/>
    <w:rsid w:val="00407332"/>
    <w:rsid w:val="00407828"/>
    <w:rsid w:val="00413D8E"/>
    <w:rsid w:val="004140F2"/>
    <w:rsid w:val="00417B22"/>
    <w:rsid w:val="00421085"/>
    <w:rsid w:val="004225A4"/>
    <w:rsid w:val="0042465E"/>
    <w:rsid w:val="00424DF7"/>
    <w:rsid w:val="00431BA3"/>
    <w:rsid w:val="00432B76"/>
    <w:rsid w:val="00434D01"/>
    <w:rsid w:val="00435D26"/>
    <w:rsid w:val="00440C99"/>
    <w:rsid w:val="0044175C"/>
    <w:rsid w:val="00445F4D"/>
    <w:rsid w:val="004504C0"/>
    <w:rsid w:val="004540F5"/>
    <w:rsid w:val="004550FB"/>
    <w:rsid w:val="0046111A"/>
    <w:rsid w:val="00462946"/>
    <w:rsid w:val="00463F43"/>
    <w:rsid w:val="00464B94"/>
    <w:rsid w:val="004653A8"/>
    <w:rsid w:val="00465A0B"/>
    <w:rsid w:val="00466E18"/>
    <w:rsid w:val="0047077C"/>
    <w:rsid w:val="00470B05"/>
    <w:rsid w:val="0047207C"/>
    <w:rsid w:val="00472CD6"/>
    <w:rsid w:val="00474E3C"/>
    <w:rsid w:val="00480A58"/>
    <w:rsid w:val="00482151"/>
    <w:rsid w:val="00484B6B"/>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E6505"/>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15BE"/>
    <w:rsid w:val="005363AB"/>
    <w:rsid w:val="00544EF4"/>
    <w:rsid w:val="00545E53"/>
    <w:rsid w:val="005479D9"/>
    <w:rsid w:val="005572BD"/>
    <w:rsid w:val="00557A12"/>
    <w:rsid w:val="00560AC7"/>
    <w:rsid w:val="00561AFB"/>
    <w:rsid w:val="00561FA8"/>
    <w:rsid w:val="005635ED"/>
    <w:rsid w:val="00565253"/>
    <w:rsid w:val="00570191"/>
    <w:rsid w:val="00570570"/>
    <w:rsid w:val="00570F9C"/>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31CC"/>
    <w:rsid w:val="005E4F04"/>
    <w:rsid w:val="005E62C2"/>
    <w:rsid w:val="005E6C71"/>
    <w:rsid w:val="005F0963"/>
    <w:rsid w:val="005F2824"/>
    <w:rsid w:val="005F2EBA"/>
    <w:rsid w:val="005F35ED"/>
    <w:rsid w:val="005F51A5"/>
    <w:rsid w:val="005F7812"/>
    <w:rsid w:val="005F7A88"/>
    <w:rsid w:val="00603A1A"/>
    <w:rsid w:val="006046D5"/>
    <w:rsid w:val="00605A71"/>
    <w:rsid w:val="00607A93"/>
    <w:rsid w:val="00610C08"/>
    <w:rsid w:val="00611F74"/>
    <w:rsid w:val="00615772"/>
    <w:rsid w:val="00621256"/>
    <w:rsid w:val="00621FCC"/>
    <w:rsid w:val="00622E4B"/>
    <w:rsid w:val="0062556C"/>
    <w:rsid w:val="006333DA"/>
    <w:rsid w:val="00635134"/>
    <w:rsid w:val="006356E2"/>
    <w:rsid w:val="00642A65"/>
    <w:rsid w:val="00645DCE"/>
    <w:rsid w:val="006465AC"/>
    <w:rsid w:val="006465BF"/>
    <w:rsid w:val="00647C53"/>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79D"/>
    <w:rsid w:val="006F2F10"/>
    <w:rsid w:val="006F482B"/>
    <w:rsid w:val="006F4EB8"/>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0B8A"/>
    <w:rsid w:val="007213B3"/>
    <w:rsid w:val="00721FB6"/>
    <w:rsid w:val="0072457F"/>
    <w:rsid w:val="00725406"/>
    <w:rsid w:val="00725883"/>
    <w:rsid w:val="0072621B"/>
    <w:rsid w:val="00730555"/>
    <w:rsid w:val="007312CC"/>
    <w:rsid w:val="00736A64"/>
    <w:rsid w:val="00737F6A"/>
    <w:rsid w:val="007410B6"/>
    <w:rsid w:val="00742860"/>
    <w:rsid w:val="007436D7"/>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5A55"/>
    <w:rsid w:val="00786094"/>
    <w:rsid w:val="00792207"/>
    <w:rsid w:val="00792B64"/>
    <w:rsid w:val="00792E29"/>
    <w:rsid w:val="0079379A"/>
    <w:rsid w:val="00794953"/>
    <w:rsid w:val="007A1F2F"/>
    <w:rsid w:val="007A2A5C"/>
    <w:rsid w:val="007A5150"/>
    <w:rsid w:val="007A5373"/>
    <w:rsid w:val="007A789F"/>
    <w:rsid w:val="007B567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2D23"/>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276C"/>
    <w:rsid w:val="008A5D26"/>
    <w:rsid w:val="008A67A9"/>
    <w:rsid w:val="008A6B13"/>
    <w:rsid w:val="008A6ECB"/>
    <w:rsid w:val="008B0BF9"/>
    <w:rsid w:val="008B2866"/>
    <w:rsid w:val="008B3859"/>
    <w:rsid w:val="008B436D"/>
    <w:rsid w:val="008B4E49"/>
    <w:rsid w:val="008B7712"/>
    <w:rsid w:val="008B7B26"/>
    <w:rsid w:val="008C3524"/>
    <w:rsid w:val="008C4061"/>
    <w:rsid w:val="008C4229"/>
    <w:rsid w:val="008C5BE0"/>
    <w:rsid w:val="008C62DB"/>
    <w:rsid w:val="008C7233"/>
    <w:rsid w:val="008D2434"/>
    <w:rsid w:val="008D7E91"/>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295A"/>
    <w:rsid w:val="009332A2"/>
    <w:rsid w:val="00937598"/>
    <w:rsid w:val="0093790B"/>
    <w:rsid w:val="00943751"/>
    <w:rsid w:val="00946DD0"/>
    <w:rsid w:val="009509E6"/>
    <w:rsid w:val="00952018"/>
    <w:rsid w:val="00952736"/>
    <w:rsid w:val="00952800"/>
    <w:rsid w:val="0095300D"/>
    <w:rsid w:val="00956812"/>
    <w:rsid w:val="0095719A"/>
    <w:rsid w:val="009623E9"/>
    <w:rsid w:val="00963EEB"/>
    <w:rsid w:val="009641DE"/>
    <w:rsid w:val="009648BC"/>
    <w:rsid w:val="00964C2F"/>
    <w:rsid w:val="00965F88"/>
    <w:rsid w:val="0098348D"/>
    <w:rsid w:val="00984E03"/>
    <w:rsid w:val="009858FB"/>
    <w:rsid w:val="00987E85"/>
    <w:rsid w:val="009A0D12"/>
    <w:rsid w:val="009A1987"/>
    <w:rsid w:val="009A2BEE"/>
    <w:rsid w:val="009A5289"/>
    <w:rsid w:val="009A7A53"/>
    <w:rsid w:val="009B0402"/>
    <w:rsid w:val="009B0B75"/>
    <w:rsid w:val="009B16DF"/>
    <w:rsid w:val="009B2F02"/>
    <w:rsid w:val="009B4CB2"/>
    <w:rsid w:val="009B6701"/>
    <w:rsid w:val="009B6EF7"/>
    <w:rsid w:val="009B7000"/>
    <w:rsid w:val="009B739C"/>
    <w:rsid w:val="009C04EC"/>
    <w:rsid w:val="009C328C"/>
    <w:rsid w:val="009C39BA"/>
    <w:rsid w:val="009C4444"/>
    <w:rsid w:val="009C79AD"/>
    <w:rsid w:val="009C7CA6"/>
    <w:rsid w:val="009D3316"/>
    <w:rsid w:val="009D55AA"/>
    <w:rsid w:val="009E3E77"/>
    <w:rsid w:val="009E3FAB"/>
    <w:rsid w:val="009E5B3F"/>
    <w:rsid w:val="009E7D90"/>
    <w:rsid w:val="009F1AB0"/>
    <w:rsid w:val="009F501D"/>
    <w:rsid w:val="009F7D12"/>
    <w:rsid w:val="00A039D5"/>
    <w:rsid w:val="00A046AD"/>
    <w:rsid w:val="00A079C1"/>
    <w:rsid w:val="00A12520"/>
    <w:rsid w:val="00A130FD"/>
    <w:rsid w:val="00A13D6D"/>
    <w:rsid w:val="00A14769"/>
    <w:rsid w:val="00A16151"/>
    <w:rsid w:val="00A16EC6"/>
    <w:rsid w:val="00A17C06"/>
    <w:rsid w:val="00A2126E"/>
    <w:rsid w:val="00A21706"/>
    <w:rsid w:val="00A2181E"/>
    <w:rsid w:val="00A24FCC"/>
    <w:rsid w:val="00A26080"/>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67986"/>
    <w:rsid w:val="00A7436E"/>
    <w:rsid w:val="00A74E96"/>
    <w:rsid w:val="00A75A8E"/>
    <w:rsid w:val="00A824DD"/>
    <w:rsid w:val="00A83676"/>
    <w:rsid w:val="00A83B7B"/>
    <w:rsid w:val="00A84274"/>
    <w:rsid w:val="00A850F3"/>
    <w:rsid w:val="00A864E3"/>
    <w:rsid w:val="00A94574"/>
    <w:rsid w:val="00A95936"/>
    <w:rsid w:val="00A96265"/>
    <w:rsid w:val="00A97084"/>
    <w:rsid w:val="00AA1BA3"/>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3513"/>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52FA"/>
    <w:rsid w:val="00B371CC"/>
    <w:rsid w:val="00B4056B"/>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5C9"/>
    <w:rsid w:val="00C12E96"/>
    <w:rsid w:val="00C14763"/>
    <w:rsid w:val="00C16141"/>
    <w:rsid w:val="00C2363F"/>
    <w:rsid w:val="00C236C8"/>
    <w:rsid w:val="00C260B1"/>
    <w:rsid w:val="00C26E56"/>
    <w:rsid w:val="00C31406"/>
    <w:rsid w:val="00C37194"/>
    <w:rsid w:val="00C3785C"/>
    <w:rsid w:val="00C40637"/>
    <w:rsid w:val="00C40F6C"/>
    <w:rsid w:val="00C44426"/>
    <w:rsid w:val="00C445F3"/>
    <w:rsid w:val="00C451F4"/>
    <w:rsid w:val="00C45EB1"/>
    <w:rsid w:val="00C54A3A"/>
    <w:rsid w:val="00C55566"/>
    <w:rsid w:val="00C56448"/>
    <w:rsid w:val="00C57B8B"/>
    <w:rsid w:val="00C667BE"/>
    <w:rsid w:val="00C6766B"/>
    <w:rsid w:val="00C72223"/>
    <w:rsid w:val="00C76417"/>
    <w:rsid w:val="00C7726F"/>
    <w:rsid w:val="00C823DA"/>
    <w:rsid w:val="00C8259F"/>
    <w:rsid w:val="00C82746"/>
    <w:rsid w:val="00C8312F"/>
    <w:rsid w:val="00C84C47"/>
    <w:rsid w:val="00C858A4"/>
    <w:rsid w:val="00C86AFA"/>
    <w:rsid w:val="00C92840"/>
    <w:rsid w:val="00CA154B"/>
    <w:rsid w:val="00CB18D0"/>
    <w:rsid w:val="00CB1C8A"/>
    <w:rsid w:val="00CB24F5"/>
    <w:rsid w:val="00CB2663"/>
    <w:rsid w:val="00CB3BBE"/>
    <w:rsid w:val="00CB59E9"/>
    <w:rsid w:val="00CC0D6A"/>
    <w:rsid w:val="00CC3831"/>
    <w:rsid w:val="00CC3E3D"/>
    <w:rsid w:val="00CC519B"/>
    <w:rsid w:val="00CC637B"/>
    <w:rsid w:val="00CD12C1"/>
    <w:rsid w:val="00CD214E"/>
    <w:rsid w:val="00CD46FA"/>
    <w:rsid w:val="00CD5973"/>
    <w:rsid w:val="00CE31A6"/>
    <w:rsid w:val="00CE5AC5"/>
    <w:rsid w:val="00CF09AA"/>
    <w:rsid w:val="00CF4813"/>
    <w:rsid w:val="00CF5233"/>
    <w:rsid w:val="00D029B8"/>
    <w:rsid w:val="00D02F60"/>
    <w:rsid w:val="00D045FD"/>
    <w:rsid w:val="00D0464E"/>
    <w:rsid w:val="00D04A96"/>
    <w:rsid w:val="00D07A7B"/>
    <w:rsid w:val="00D10E06"/>
    <w:rsid w:val="00D15197"/>
    <w:rsid w:val="00D16820"/>
    <w:rsid w:val="00D169C8"/>
    <w:rsid w:val="00D1793F"/>
    <w:rsid w:val="00D2148E"/>
    <w:rsid w:val="00D22AF5"/>
    <w:rsid w:val="00D235EA"/>
    <w:rsid w:val="00D247A9"/>
    <w:rsid w:val="00D32721"/>
    <w:rsid w:val="00D328DC"/>
    <w:rsid w:val="00D3305A"/>
    <w:rsid w:val="00D33387"/>
    <w:rsid w:val="00D402FB"/>
    <w:rsid w:val="00D4041A"/>
    <w:rsid w:val="00D44D58"/>
    <w:rsid w:val="00D4718E"/>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64AA"/>
    <w:rsid w:val="00DC7886"/>
    <w:rsid w:val="00DD0CF2"/>
    <w:rsid w:val="00DE1554"/>
    <w:rsid w:val="00DE2901"/>
    <w:rsid w:val="00DE590F"/>
    <w:rsid w:val="00DE7DC1"/>
    <w:rsid w:val="00DF3F7E"/>
    <w:rsid w:val="00DF7648"/>
    <w:rsid w:val="00E00E29"/>
    <w:rsid w:val="00E02BAB"/>
    <w:rsid w:val="00E02F4F"/>
    <w:rsid w:val="00E04CEB"/>
    <w:rsid w:val="00E060BC"/>
    <w:rsid w:val="00E11420"/>
    <w:rsid w:val="00E132FB"/>
    <w:rsid w:val="00E170B7"/>
    <w:rsid w:val="00E177DD"/>
    <w:rsid w:val="00E178B6"/>
    <w:rsid w:val="00E20900"/>
    <w:rsid w:val="00E20C7F"/>
    <w:rsid w:val="00E2396E"/>
    <w:rsid w:val="00E24728"/>
    <w:rsid w:val="00E276AC"/>
    <w:rsid w:val="00E312F0"/>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B55FE"/>
    <w:rsid w:val="00EC0F5A"/>
    <w:rsid w:val="00EC4265"/>
    <w:rsid w:val="00EC4CEB"/>
    <w:rsid w:val="00EC659E"/>
    <w:rsid w:val="00ED12C5"/>
    <w:rsid w:val="00ED2072"/>
    <w:rsid w:val="00ED2AE0"/>
    <w:rsid w:val="00ED5553"/>
    <w:rsid w:val="00ED5E36"/>
    <w:rsid w:val="00ED6961"/>
    <w:rsid w:val="00EE1BBA"/>
    <w:rsid w:val="00EE2746"/>
    <w:rsid w:val="00EF0B96"/>
    <w:rsid w:val="00EF3486"/>
    <w:rsid w:val="00EF47AF"/>
    <w:rsid w:val="00EF53B6"/>
    <w:rsid w:val="00F00B73"/>
    <w:rsid w:val="00F0749D"/>
    <w:rsid w:val="00F115CA"/>
    <w:rsid w:val="00F14817"/>
    <w:rsid w:val="00F14EBA"/>
    <w:rsid w:val="00F1510F"/>
    <w:rsid w:val="00F1533A"/>
    <w:rsid w:val="00F15E5A"/>
    <w:rsid w:val="00F17F0A"/>
    <w:rsid w:val="00F215DF"/>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3A44"/>
    <w:rsid w:val="00F66B34"/>
    <w:rsid w:val="00F675B9"/>
    <w:rsid w:val="00F711C9"/>
    <w:rsid w:val="00F74C59"/>
    <w:rsid w:val="00F75C3A"/>
    <w:rsid w:val="00F82E30"/>
    <w:rsid w:val="00F831CB"/>
    <w:rsid w:val="00F848A3"/>
    <w:rsid w:val="00F84ACF"/>
    <w:rsid w:val="00F85742"/>
    <w:rsid w:val="00F85BF8"/>
    <w:rsid w:val="00F871CE"/>
    <w:rsid w:val="00F87802"/>
    <w:rsid w:val="00F92657"/>
    <w:rsid w:val="00F92C0A"/>
    <w:rsid w:val="00F9415B"/>
    <w:rsid w:val="00FA13C2"/>
    <w:rsid w:val="00FA7F91"/>
    <w:rsid w:val="00FB121C"/>
    <w:rsid w:val="00FB1CDD"/>
    <w:rsid w:val="00FB2628"/>
    <w:rsid w:val="00FB2C2F"/>
    <w:rsid w:val="00FB305C"/>
    <w:rsid w:val="00FC2E3D"/>
    <w:rsid w:val="00FC3BDE"/>
    <w:rsid w:val="00FD041B"/>
    <w:rsid w:val="00FD1DBE"/>
    <w:rsid w:val="00FD25A7"/>
    <w:rsid w:val="00FD27B6"/>
    <w:rsid w:val="00FD3689"/>
    <w:rsid w:val="00FD42A3"/>
    <w:rsid w:val="00FD7468"/>
    <w:rsid w:val="00FD7CE0"/>
    <w:rsid w:val="00FE0B3B"/>
    <w:rsid w:val="00FE1984"/>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EE0EC5"/>
  <w15:docId w15:val="{01698BF5-7D9E-4B50-9123-8C91A9D6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0"/>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5DF"/>
    <w:pPr>
      <w:widowControl w:val="0"/>
      <w:autoSpaceDE w:val="0"/>
      <w:autoSpaceDN w:val="0"/>
      <w:adjustRightInd w:val="0"/>
      <w:spacing w:before="113" w:line="220" w:lineRule="exact"/>
      <w:jc w:val="both"/>
    </w:pPr>
    <w:rPr>
      <w:rFonts w:eastAsiaTheme="minorEastAsia" w:cs="Arial"/>
      <w:sz w:val="20"/>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qFormat/>
    <w:rsid w:val="007B567F"/>
    <w:pPr>
      <w:keepNext/>
      <w:widowControl/>
      <w:autoSpaceDE/>
      <w:autoSpaceDN/>
      <w:adjustRightInd/>
      <w:spacing w:before="240" w:after="60" w:line="240" w:lineRule="auto"/>
      <w:outlineLvl w:val="1"/>
    </w:pPr>
    <w:rPr>
      <w:rFonts w:ascii="Arial" w:eastAsiaTheme="minorHAnsi" w:hAnsi="Arial" w:cstheme="minorBidi"/>
      <w:b/>
      <w:i/>
      <w:szCs w:val="22"/>
      <w:lang w:eastAsia="en-US"/>
    </w:rPr>
  </w:style>
  <w:style w:type="paragraph" w:styleId="Nagwek3">
    <w:name w:val="heading 3"/>
    <w:basedOn w:val="Normalny"/>
    <w:next w:val="Normalny"/>
    <w:link w:val="Nagwek3Znak"/>
    <w:uiPriority w:val="99"/>
    <w:qFormat/>
    <w:rsid w:val="008A67A9"/>
    <w:pPr>
      <w:keepNext/>
      <w:ind w:left="360"/>
      <w:jc w:val="center"/>
      <w:outlineLvl w:val="2"/>
    </w:pPr>
    <w:rPr>
      <w:rFonts w:eastAsia="Arial Unicode MS" w:cs="Times New Roman"/>
      <w:b/>
      <w:sz w:val="26"/>
    </w:rPr>
  </w:style>
  <w:style w:type="paragraph" w:styleId="Nagwek4">
    <w:name w:val="heading 4"/>
    <w:basedOn w:val="Normalny"/>
    <w:next w:val="Normalny"/>
    <w:link w:val="Nagwek4Znak"/>
    <w:uiPriority w:val="9"/>
    <w:semiHidden/>
    <w:unhideWhenUsed/>
    <w:qFormat/>
    <w:rsid w:val="00005C79"/>
    <w:pPr>
      <w:keepNext/>
      <w:keepLines/>
      <w:widowControl/>
      <w:autoSpaceDE/>
      <w:autoSpaceDN/>
      <w:adjustRightInd/>
      <w:spacing w:before="40" w:line="259" w:lineRule="auto"/>
      <w:jc w:val="left"/>
      <w:outlineLvl w:val="3"/>
    </w:pPr>
    <w:rPr>
      <w:rFonts w:asciiTheme="majorHAnsi" w:eastAsiaTheme="majorEastAsia" w:hAnsiTheme="majorHAnsi" w:cstheme="majorBidi"/>
      <w:i/>
      <w:iCs/>
      <w:color w:val="365F91" w:themeColor="accent1" w:themeShade="BF"/>
      <w:sz w:val="22"/>
      <w:szCs w:val="22"/>
      <w:lang w:eastAsia="en-US"/>
    </w:rPr>
  </w:style>
  <w:style w:type="paragraph" w:styleId="Nagwek5">
    <w:name w:val="heading 5"/>
    <w:basedOn w:val="Normalny"/>
    <w:next w:val="Normalny"/>
    <w:link w:val="Nagwek5Znak"/>
    <w:uiPriority w:val="9"/>
    <w:semiHidden/>
    <w:unhideWhenUsed/>
    <w:qFormat/>
    <w:rsid w:val="007B567F"/>
    <w:pPr>
      <w:keepNext/>
      <w:keepLines/>
      <w:widowControl/>
      <w:autoSpaceDE/>
      <w:autoSpaceDN/>
      <w:adjustRightInd/>
      <w:spacing w:before="200" w:after="60" w:line="240" w:lineRule="auto"/>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eastAsia="Times New Roman"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eastAsia="Times New Roman"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eastAsia="Times New Roman"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9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99"/>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99"/>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rsid w:val="00341A6A"/>
    <w:rPr>
      <w:color w:val="808080"/>
    </w:rPr>
  </w:style>
  <w:style w:type="paragraph" w:customStyle="1" w:styleId="Notatkanamarginesie">
    <w:name w:val="Notatka na marginesie"/>
    <w:basedOn w:val="Normalny"/>
    <w:qFormat/>
    <w:rsid w:val="00F92657"/>
    <w:pPr>
      <w:spacing w:line="240" w:lineRule="auto"/>
    </w:pPr>
  </w:style>
  <w:style w:type="character" w:customStyle="1" w:styleId="Nagwek3Znak">
    <w:name w:val="Nagłówek 3 Znak"/>
    <w:basedOn w:val="Domylnaczcionkaakapitu"/>
    <w:link w:val="Nagwek3"/>
    <w:rsid w:val="008A67A9"/>
    <w:rPr>
      <w:rFonts w:ascii="Times New Roman" w:eastAsia="Arial Unicode MS" w:hAnsi="Times New Roman"/>
      <w:b/>
      <w:sz w:val="26"/>
      <w:szCs w:val="20"/>
    </w:rPr>
  </w:style>
  <w:style w:type="paragraph" w:styleId="Akapitzlist">
    <w:name w:val="List Paragraph"/>
    <w:basedOn w:val="Normalny"/>
    <w:uiPriority w:val="34"/>
    <w:qFormat/>
    <w:rsid w:val="008A67A9"/>
    <w:pPr>
      <w:ind w:left="720"/>
      <w:contextualSpacing/>
    </w:pPr>
    <w:rPr>
      <w:rFonts w:ascii="Calibri" w:eastAsia="Calibri" w:hAnsi="Calibri" w:cs="Times New Roman"/>
    </w:rPr>
  </w:style>
  <w:style w:type="paragraph" w:styleId="Tekstpodstawowywcity">
    <w:name w:val="Body Text Indent"/>
    <w:basedOn w:val="Normalny"/>
    <w:link w:val="TekstpodstawowywcityZnak"/>
    <w:uiPriority w:val="99"/>
    <w:rsid w:val="008A67A9"/>
    <w:pPr>
      <w:ind w:firstLine="900"/>
    </w:pPr>
    <w:rPr>
      <w:rFonts w:eastAsia="Times New Roman" w:cs="Times New Roman"/>
      <w:b/>
      <w:sz w:val="26"/>
    </w:rPr>
  </w:style>
  <w:style w:type="character" w:customStyle="1" w:styleId="TekstpodstawowywcityZnak">
    <w:name w:val="Tekst podstawowy wcięty Znak"/>
    <w:basedOn w:val="Domylnaczcionkaakapitu"/>
    <w:link w:val="Tekstpodstawowywcity"/>
    <w:rsid w:val="008A67A9"/>
    <w:rPr>
      <w:rFonts w:ascii="Times New Roman" w:hAnsi="Times New Roman"/>
      <w:b/>
      <w:sz w:val="26"/>
      <w:szCs w:val="20"/>
    </w:rPr>
  </w:style>
  <w:style w:type="paragraph" w:styleId="Tekstpodstawowywcity3">
    <w:name w:val="Body Text Indent 3"/>
    <w:basedOn w:val="Normalny"/>
    <w:link w:val="Tekstpodstawowywcity3Znak"/>
    <w:rsid w:val="008A67A9"/>
    <w:pPr>
      <w:tabs>
        <w:tab w:val="left" w:pos="0"/>
      </w:tabs>
      <w:spacing w:line="240" w:lineRule="auto"/>
      <w:ind w:firstLine="900"/>
    </w:pPr>
    <w:rPr>
      <w:rFonts w:eastAsia="Times New Roman" w:cs="Times New Roman"/>
      <w:b/>
      <w:bCs/>
      <w:color w:val="000000"/>
      <w:szCs w:val="24"/>
    </w:rPr>
  </w:style>
  <w:style w:type="character" w:customStyle="1" w:styleId="Tekstpodstawowywcity3Znak">
    <w:name w:val="Tekst podstawowy wcięty 3 Znak"/>
    <w:basedOn w:val="Domylnaczcionkaakapitu"/>
    <w:link w:val="Tekstpodstawowywcity3"/>
    <w:rsid w:val="008A67A9"/>
    <w:rPr>
      <w:rFonts w:ascii="Times New Roman" w:hAnsi="Times New Roman"/>
      <w:b/>
      <w:bCs/>
      <w:color w:val="000000"/>
    </w:rPr>
  </w:style>
  <w:style w:type="paragraph" w:styleId="Tekstprzypisukocowego">
    <w:name w:val="endnote text"/>
    <w:basedOn w:val="Normalny"/>
    <w:link w:val="TekstprzypisukocowegoZnak"/>
    <w:unhideWhenUsed/>
    <w:rsid w:val="008A67A9"/>
    <w:pPr>
      <w:spacing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rsid w:val="008A67A9"/>
    <w:rPr>
      <w:rFonts w:ascii="Calibri" w:eastAsia="Calibri" w:hAnsi="Calibri"/>
      <w:sz w:val="20"/>
      <w:szCs w:val="20"/>
    </w:rPr>
  </w:style>
  <w:style w:type="character" w:styleId="Hipercze">
    <w:name w:val="Hyperlink"/>
    <w:basedOn w:val="Domylnaczcionkaakapitu"/>
    <w:uiPriority w:val="99"/>
    <w:semiHidden/>
    <w:unhideWhenUsed/>
    <w:rsid w:val="008A67A9"/>
    <w:rPr>
      <w:color w:val="0000FF"/>
      <w:u w:val="single"/>
    </w:rPr>
  </w:style>
  <w:style w:type="paragraph" w:styleId="NormalnyWeb">
    <w:name w:val="Normal (Web)"/>
    <w:basedOn w:val="Normalny"/>
    <w:uiPriority w:val="99"/>
    <w:unhideWhenUsed/>
    <w:rsid w:val="008A67A9"/>
    <w:rPr>
      <w:rFonts w:cs="Times New Roman"/>
      <w:szCs w:val="24"/>
    </w:rPr>
  </w:style>
  <w:style w:type="character" w:styleId="Odwoanieprzypisukocowego">
    <w:name w:val="endnote reference"/>
    <w:basedOn w:val="Domylnaczcionkaakapitu"/>
    <w:semiHidden/>
    <w:unhideWhenUsed/>
    <w:rsid w:val="008A67A9"/>
    <w:rPr>
      <w:vertAlign w:val="superscript"/>
    </w:rPr>
  </w:style>
  <w:style w:type="character" w:customStyle="1" w:styleId="Nagwek2Znak">
    <w:name w:val="Nagłówek 2 Znak"/>
    <w:basedOn w:val="Domylnaczcionkaakapitu"/>
    <w:link w:val="Nagwek2"/>
    <w:uiPriority w:val="99"/>
    <w:rsid w:val="007B567F"/>
    <w:rPr>
      <w:rFonts w:ascii="Arial" w:eastAsiaTheme="minorHAnsi" w:hAnsi="Arial" w:cstheme="minorBidi"/>
      <w:b/>
      <w:i/>
      <w:szCs w:val="22"/>
      <w:lang w:eastAsia="en-US"/>
    </w:rPr>
  </w:style>
  <w:style w:type="character" w:customStyle="1" w:styleId="Nagwek5Znak">
    <w:name w:val="Nagłówek 5 Znak"/>
    <w:basedOn w:val="Domylnaczcionkaakapitu"/>
    <w:link w:val="Nagwek5"/>
    <w:uiPriority w:val="9"/>
    <w:semiHidden/>
    <w:rsid w:val="007B567F"/>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uiPriority w:val="99"/>
    <w:rsid w:val="007B567F"/>
  </w:style>
  <w:style w:type="character" w:styleId="Numerwiersza">
    <w:name w:val="line number"/>
    <w:basedOn w:val="Domylnaczcionkaakapitu"/>
    <w:uiPriority w:val="99"/>
    <w:rsid w:val="007B567F"/>
  </w:style>
  <w:style w:type="paragraph" w:styleId="Tekstpodstawowy">
    <w:name w:val="Body Text"/>
    <w:basedOn w:val="Normalny"/>
    <w:link w:val="TekstpodstawowyZnak"/>
    <w:uiPriority w:val="99"/>
    <w:rsid w:val="007B567F"/>
    <w:pPr>
      <w:suppressAutoHyphens/>
      <w:autoSpaceDE/>
      <w:autoSpaceDN/>
      <w:adjustRightInd/>
      <w:spacing w:before="60" w:after="120" w:line="240" w:lineRule="auto"/>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uiPriority w:val="99"/>
    <w:rsid w:val="007B567F"/>
    <w:rPr>
      <w:rFonts w:ascii="Calibri" w:eastAsiaTheme="minorHAnsi" w:hAnsi="Calibri" w:cstheme="minorBidi"/>
      <w:szCs w:val="22"/>
      <w:lang w:eastAsia="en-US"/>
    </w:rPr>
  </w:style>
  <w:style w:type="paragraph" w:styleId="Tekstpodstawowyzwciciem">
    <w:name w:val="Body Text First Indent"/>
    <w:basedOn w:val="Tekstpodstawowy"/>
    <w:link w:val="TekstpodstawowyzwciciemZnak"/>
    <w:uiPriority w:val="99"/>
    <w:semiHidden/>
    <w:unhideWhenUsed/>
    <w:rsid w:val="007B567F"/>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7B567F"/>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7B567F"/>
    <w:pPr>
      <w:widowControl/>
      <w:autoSpaceDE/>
      <w:autoSpaceDN/>
      <w:adjustRightInd/>
      <w:spacing w:before="60" w:after="60" w:line="240" w:lineRule="auto"/>
      <w:ind w:left="360" w:firstLine="360"/>
    </w:pPr>
    <w:rPr>
      <w:rFonts w:eastAsiaTheme="minorHAnsi" w:cstheme="minorBidi"/>
      <w:b w:val="0"/>
      <w:sz w:val="24"/>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7B567F"/>
    <w:rPr>
      <w:rFonts w:ascii="Times New Roman" w:eastAsiaTheme="minorHAnsi" w:hAnsi="Times New Roman" w:cstheme="minorBidi"/>
      <w:b w:val="0"/>
      <w:sz w:val="26"/>
      <w:szCs w:val="22"/>
      <w:lang w:eastAsia="en-US"/>
    </w:rPr>
  </w:style>
  <w:style w:type="paragraph" w:styleId="Tytu">
    <w:name w:val="Title"/>
    <w:basedOn w:val="Normalny"/>
    <w:link w:val="TytuZnak"/>
    <w:uiPriority w:val="99"/>
    <w:qFormat/>
    <w:rsid w:val="007B567F"/>
    <w:pPr>
      <w:widowControl/>
      <w:autoSpaceDE/>
      <w:autoSpaceDN/>
      <w:adjustRightInd/>
      <w:spacing w:before="240" w:after="200" w:line="276" w:lineRule="auto"/>
      <w:jc w:val="center"/>
    </w:pPr>
    <w:rPr>
      <w:rFonts w:ascii="Arial" w:eastAsia="Times New Roman" w:hAnsi="Arial" w:cstheme="minorBidi"/>
      <w:b/>
      <w:kern w:val="28"/>
      <w:sz w:val="32"/>
      <w:szCs w:val="22"/>
      <w:lang w:eastAsia="en-US"/>
    </w:rPr>
  </w:style>
  <w:style w:type="character" w:customStyle="1" w:styleId="TytuZnak">
    <w:name w:val="Tytuł Znak"/>
    <w:basedOn w:val="Domylnaczcionkaakapitu"/>
    <w:link w:val="Tytu"/>
    <w:uiPriority w:val="99"/>
    <w:rsid w:val="007B567F"/>
    <w:rPr>
      <w:rFonts w:ascii="Arial" w:hAnsi="Arial" w:cstheme="minorBidi"/>
      <w:b/>
      <w:kern w:val="28"/>
      <w:sz w:val="32"/>
      <w:szCs w:val="22"/>
      <w:lang w:eastAsia="en-US"/>
    </w:rPr>
  </w:style>
  <w:style w:type="character" w:styleId="Uwydatnienie">
    <w:name w:val="Emphasis"/>
    <w:basedOn w:val="Domylnaczcionkaakapitu"/>
    <w:qFormat/>
    <w:rsid w:val="007B567F"/>
    <w:rPr>
      <w:i/>
      <w:iCs/>
    </w:rPr>
  </w:style>
  <w:style w:type="paragraph" w:styleId="Poprawka">
    <w:name w:val="Revision"/>
    <w:rsid w:val="00F215DF"/>
    <w:pPr>
      <w:spacing w:line="240" w:lineRule="auto"/>
    </w:pPr>
    <w:rPr>
      <w:rFonts w:ascii="Times New Roman" w:hAnsi="Times New Roman" w:cs="Arial"/>
      <w:szCs w:val="20"/>
    </w:rPr>
  </w:style>
  <w:style w:type="character" w:customStyle="1" w:styleId="Nagwek4Znak">
    <w:name w:val="Nagłówek 4 Znak"/>
    <w:basedOn w:val="Domylnaczcionkaakapitu"/>
    <w:link w:val="Nagwek4"/>
    <w:uiPriority w:val="9"/>
    <w:semiHidden/>
    <w:rsid w:val="00005C79"/>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20561">
      <w:bodyDiv w:val="1"/>
      <w:marLeft w:val="0"/>
      <w:marRight w:val="0"/>
      <w:marTop w:val="0"/>
      <w:marBottom w:val="0"/>
      <w:divBdr>
        <w:top w:val="none" w:sz="0" w:space="0" w:color="auto"/>
        <w:left w:val="none" w:sz="0" w:space="0" w:color="auto"/>
        <w:bottom w:val="none" w:sz="0" w:space="0" w:color="auto"/>
        <w:right w:val="none" w:sz="0" w:space="0" w:color="auto"/>
      </w:divBdr>
    </w:div>
    <w:div w:id="456725186">
      <w:bodyDiv w:val="1"/>
      <w:marLeft w:val="0"/>
      <w:marRight w:val="0"/>
      <w:marTop w:val="0"/>
      <w:marBottom w:val="0"/>
      <w:divBdr>
        <w:top w:val="none" w:sz="0" w:space="0" w:color="auto"/>
        <w:left w:val="none" w:sz="0" w:space="0" w:color="auto"/>
        <w:bottom w:val="none" w:sz="0" w:space="0" w:color="auto"/>
        <w:right w:val="none" w:sz="0" w:space="0" w:color="auto"/>
      </w:divBdr>
    </w:div>
    <w:div w:id="545944516">
      <w:bodyDiv w:val="1"/>
      <w:marLeft w:val="0"/>
      <w:marRight w:val="0"/>
      <w:marTop w:val="0"/>
      <w:marBottom w:val="0"/>
      <w:divBdr>
        <w:top w:val="none" w:sz="0" w:space="0" w:color="auto"/>
        <w:left w:val="none" w:sz="0" w:space="0" w:color="auto"/>
        <w:bottom w:val="none" w:sz="0" w:space="0" w:color="auto"/>
        <w:right w:val="none" w:sz="0" w:space="0" w:color="auto"/>
      </w:divBdr>
    </w:div>
    <w:div w:id="619803382">
      <w:bodyDiv w:val="1"/>
      <w:marLeft w:val="0"/>
      <w:marRight w:val="0"/>
      <w:marTop w:val="0"/>
      <w:marBottom w:val="0"/>
      <w:divBdr>
        <w:top w:val="none" w:sz="0" w:space="0" w:color="auto"/>
        <w:left w:val="none" w:sz="0" w:space="0" w:color="auto"/>
        <w:bottom w:val="none" w:sz="0" w:space="0" w:color="auto"/>
        <w:right w:val="none" w:sz="0" w:space="0" w:color="auto"/>
      </w:divBdr>
    </w:div>
    <w:div w:id="1023090756">
      <w:bodyDiv w:val="1"/>
      <w:marLeft w:val="0"/>
      <w:marRight w:val="0"/>
      <w:marTop w:val="0"/>
      <w:marBottom w:val="0"/>
      <w:divBdr>
        <w:top w:val="none" w:sz="0" w:space="0" w:color="auto"/>
        <w:left w:val="none" w:sz="0" w:space="0" w:color="auto"/>
        <w:bottom w:val="none" w:sz="0" w:space="0" w:color="auto"/>
        <w:right w:val="none" w:sz="0" w:space="0" w:color="auto"/>
      </w:divBdr>
    </w:div>
    <w:div w:id="1286042570">
      <w:bodyDiv w:val="1"/>
      <w:marLeft w:val="0"/>
      <w:marRight w:val="0"/>
      <w:marTop w:val="0"/>
      <w:marBottom w:val="0"/>
      <w:divBdr>
        <w:top w:val="none" w:sz="0" w:space="0" w:color="auto"/>
        <w:left w:val="none" w:sz="0" w:space="0" w:color="auto"/>
        <w:bottom w:val="none" w:sz="0" w:space="0" w:color="auto"/>
        <w:right w:val="none" w:sz="0" w:space="0" w:color="auto"/>
      </w:divBdr>
    </w:div>
    <w:div w:id="1345669788">
      <w:bodyDiv w:val="1"/>
      <w:marLeft w:val="0"/>
      <w:marRight w:val="0"/>
      <w:marTop w:val="0"/>
      <w:marBottom w:val="0"/>
      <w:divBdr>
        <w:top w:val="none" w:sz="0" w:space="0" w:color="auto"/>
        <w:left w:val="none" w:sz="0" w:space="0" w:color="auto"/>
        <w:bottom w:val="none" w:sz="0" w:space="0" w:color="auto"/>
        <w:right w:val="none" w:sz="0" w:space="0" w:color="auto"/>
      </w:divBdr>
    </w:div>
    <w:div w:id="1633713013">
      <w:bodyDiv w:val="1"/>
      <w:marLeft w:val="0"/>
      <w:marRight w:val="0"/>
      <w:marTop w:val="0"/>
      <w:marBottom w:val="0"/>
      <w:divBdr>
        <w:top w:val="none" w:sz="0" w:space="0" w:color="auto"/>
        <w:left w:val="none" w:sz="0" w:space="0" w:color="auto"/>
        <w:bottom w:val="none" w:sz="0" w:space="0" w:color="auto"/>
        <w:right w:val="none" w:sz="0" w:space="0" w:color="auto"/>
      </w:divBdr>
    </w:div>
    <w:div w:id="1689140504">
      <w:bodyDiv w:val="1"/>
      <w:marLeft w:val="0"/>
      <w:marRight w:val="0"/>
      <w:marTop w:val="0"/>
      <w:marBottom w:val="0"/>
      <w:divBdr>
        <w:top w:val="none" w:sz="0" w:space="0" w:color="auto"/>
        <w:left w:val="none" w:sz="0" w:space="0" w:color="auto"/>
        <w:bottom w:val="none" w:sz="0" w:space="0" w:color="auto"/>
        <w:right w:val="none" w:sz="0" w:space="0" w:color="auto"/>
      </w:divBdr>
    </w:div>
    <w:div w:id="18844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C86A71-FC4A-484A-A66B-AA68A5A9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3</TotalTime>
  <Pages>13</Pages>
  <Words>4434</Words>
  <Characters>26605</Characters>
  <Application>Microsoft Office Word</Application>
  <DocSecurity>0</DocSecurity>
  <Lines>221</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Władysław Baksza</dc:creator>
  <cp:lastModifiedBy>Przemysław Sadłoń</cp:lastModifiedBy>
  <cp:revision>2</cp:revision>
  <cp:lastPrinted>2024-03-21T15:31:00Z</cp:lastPrinted>
  <dcterms:created xsi:type="dcterms:W3CDTF">2024-09-11T16:35:00Z</dcterms:created>
  <dcterms:modified xsi:type="dcterms:W3CDTF">2024-09-11T16:35:00Z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